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28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497A4B" w:rsidRDefault="00497A4B" w:rsidP="00141342">
      <w:pPr>
        <w:pStyle w:val="Nadpis21"/>
        <w:rPr>
          <w:b/>
          <w:sz w:val="30"/>
        </w:rPr>
      </w:pPr>
    </w:p>
    <w:p w:rsidR="00497A4B" w:rsidRPr="00497A4B" w:rsidRDefault="00497A4B" w:rsidP="00497A4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ED68EE">
        <w:rPr>
          <w:b/>
          <w:sz w:val="30"/>
        </w:rPr>
        <w:t>7</w:t>
      </w:r>
      <w:r w:rsidRPr="002573F0">
        <w:rPr>
          <w:b/>
          <w:sz w:val="30"/>
        </w:rPr>
        <w:t>/201</w:t>
      </w:r>
      <w:r w:rsidR="00F96931">
        <w:rPr>
          <w:b/>
          <w:sz w:val="30"/>
        </w:rPr>
        <w:t>8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ED68EE">
        <w:rPr>
          <w:b/>
          <w:sz w:val="30"/>
          <w:szCs w:val="24"/>
          <w:lang w:eastAsia="en-US"/>
        </w:rPr>
        <w:t>12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ED68EE">
        <w:rPr>
          <w:b/>
          <w:sz w:val="30"/>
          <w:szCs w:val="24"/>
          <w:lang w:eastAsia="en-US"/>
        </w:rPr>
        <w:t>9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F96931">
        <w:rPr>
          <w:b/>
          <w:sz w:val="30"/>
          <w:szCs w:val="24"/>
          <w:lang w:eastAsia="en-US"/>
        </w:rPr>
        <w:t>8</w:t>
      </w:r>
    </w:p>
    <w:p w:rsidR="006C2D79" w:rsidRDefault="006C2D79"/>
    <w:p w:rsidR="00BA583E" w:rsidRDefault="00BA583E"/>
    <w:p w:rsidR="00497A4B" w:rsidRPr="002573F0" w:rsidRDefault="00497A4B"/>
    <w:p w:rsidR="00701CB2" w:rsidRPr="00B175A3" w:rsidRDefault="00130FF6" w:rsidP="00B175A3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  <w:r w:rsidR="00B5589E">
        <w:t>,</w:t>
      </w:r>
      <w:r w:rsidR="00B5589E" w:rsidRPr="00B5589E">
        <w:t xml:space="preserve"> </w:t>
      </w:r>
      <w:r w:rsidR="00B5589E">
        <w:t>Douda R</w:t>
      </w:r>
      <w:r w:rsidR="00B175A3">
        <w:t xml:space="preserve">, </w:t>
      </w:r>
      <w:r w:rsidR="00917500" w:rsidRPr="002573F0">
        <w:t>Bínová M</w:t>
      </w:r>
      <w:r w:rsidR="00917500">
        <w:t>.</w:t>
      </w:r>
    </w:p>
    <w:p w:rsidR="00795945" w:rsidRPr="002969BB" w:rsidRDefault="00795945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Zahájení, návrh programu.</w:t>
      </w:r>
    </w:p>
    <w:p w:rsidR="008277BB" w:rsidRDefault="007129B0" w:rsidP="006D4679">
      <w:pPr>
        <w:numPr>
          <w:ilvl w:val="0"/>
          <w:numId w:val="2"/>
        </w:numPr>
        <w:jc w:val="both"/>
      </w:pPr>
      <w:r>
        <w:t>Kontrola zápisu z minulé schůze.</w:t>
      </w:r>
    </w:p>
    <w:p w:rsidR="008277BB" w:rsidRDefault="008277BB" w:rsidP="006D4679">
      <w:pPr>
        <w:numPr>
          <w:ilvl w:val="0"/>
          <w:numId w:val="2"/>
        </w:numPr>
        <w:jc w:val="both"/>
      </w:pPr>
      <w:r>
        <w:t>Stav financí obce.</w:t>
      </w:r>
    </w:p>
    <w:p w:rsidR="007B387C" w:rsidRDefault="007B387C" w:rsidP="006D4679">
      <w:pPr>
        <w:numPr>
          <w:ilvl w:val="0"/>
          <w:numId w:val="2"/>
        </w:numPr>
        <w:jc w:val="both"/>
      </w:pPr>
      <w:r>
        <w:t>Výsledek dílčího přezkoumání hospodaření obce za 1. pololetí 2018.</w:t>
      </w:r>
    </w:p>
    <w:p w:rsidR="007B387C" w:rsidRDefault="001146E9" w:rsidP="006D4679">
      <w:pPr>
        <w:numPr>
          <w:ilvl w:val="0"/>
          <w:numId w:val="2"/>
        </w:numPr>
        <w:jc w:val="both"/>
      </w:pPr>
      <w:r>
        <w:t>Rozpočtové opatření č. 2/2018.</w:t>
      </w:r>
    </w:p>
    <w:p w:rsidR="001146E9" w:rsidRDefault="001146E9" w:rsidP="006D4679">
      <w:pPr>
        <w:numPr>
          <w:ilvl w:val="0"/>
          <w:numId w:val="2"/>
        </w:numPr>
        <w:jc w:val="both"/>
      </w:pPr>
      <w:r>
        <w:t>Přidělení čísla popisného (</w:t>
      </w:r>
      <w:r w:rsidR="00351E06">
        <w:t>Vá</w:t>
      </w:r>
      <w:r>
        <w:t>gnerovi 16).</w:t>
      </w:r>
    </w:p>
    <w:p w:rsidR="00B175A3" w:rsidRDefault="00B175A3" w:rsidP="00B175A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Příprava voleb do obecních zastupitelstev 2018.</w:t>
      </w:r>
    </w:p>
    <w:p w:rsidR="007129B0" w:rsidRDefault="007129B0" w:rsidP="00B175A3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624175" w:rsidRDefault="00624175" w:rsidP="002969BB">
      <w:pPr>
        <w:ind w:left="360"/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8D2FFD" w:rsidRDefault="008D2FFD" w:rsidP="004E4EBE">
      <w:pPr>
        <w:jc w:val="both"/>
      </w:pPr>
    </w:p>
    <w:p w:rsidR="0010485F" w:rsidRDefault="0010485F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1.6.2016 </w:t>
      </w:r>
      <w:proofErr w:type="gramStart"/>
      <w:r>
        <w:t>celkem :</w:t>
      </w:r>
      <w:proofErr w:type="gramEnd"/>
    </w:p>
    <w:p w:rsidR="00497A4B" w:rsidRDefault="00497A4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1146E9">
        <w:t>212 306</w:t>
      </w:r>
      <w:r>
        <w:t>,</w:t>
      </w:r>
      <w:r w:rsidR="001146E9">
        <w:t>8</w:t>
      </w:r>
      <w:r w:rsidR="00D47743">
        <w:t>3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1146E9">
        <w:t>1</w:t>
      </w:r>
      <w:r w:rsidR="00F96931">
        <w:t xml:space="preserve"> </w:t>
      </w:r>
      <w:r w:rsidR="001146E9">
        <w:t>1</w:t>
      </w:r>
      <w:r w:rsidR="00F96931">
        <w:t>02</w:t>
      </w:r>
      <w:r w:rsidR="00237786">
        <w:t> </w:t>
      </w:r>
      <w:r w:rsidR="001146E9">
        <w:t>810</w:t>
      </w:r>
      <w:r w:rsidR="00237786">
        <w:t>,</w:t>
      </w:r>
      <w:r w:rsidR="001146E9">
        <w:t>24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C73DA">
        <w:t xml:space="preserve"> </w:t>
      </w:r>
      <w:r w:rsidR="001146E9">
        <w:t>32</w:t>
      </w:r>
      <w:r w:rsidR="00F96931">
        <w:t xml:space="preserve"> </w:t>
      </w:r>
      <w:r w:rsidR="001146E9">
        <w:t>817</w:t>
      </w:r>
      <w:r w:rsidR="0038708A">
        <w:t>,</w:t>
      </w:r>
      <w:r w:rsidR="001146E9">
        <w:t>0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F96931">
        <w:t>22</w:t>
      </w:r>
      <w:r>
        <w:t> </w:t>
      </w:r>
      <w:r w:rsidR="00F96931">
        <w:t>486</w:t>
      </w:r>
      <w:r>
        <w:t>,00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</w:t>
      </w:r>
      <w:r w:rsidR="00D47743">
        <w:t xml:space="preserve">  </w:t>
      </w:r>
      <w:r w:rsidR="001146E9">
        <w:t>5</w:t>
      </w:r>
      <w:r w:rsidR="00D47743">
        <w:t xml:space="preserve"> </w:t>
      </w:r>
      <w:r w:rsidR="001146E9">
        <w:t>080</w:t>
      </w:r>
      <w:r>
        <w:t>,00 Kč</w:t>
      </w:r>
    </w:p>
    <w:p w:rsidR="00497A4B" w:rsidRDefault="00497A4B" w:rsidP="00BC745B">
      <w:pPr>
        <w:ind w:firstLine="720"/>
        <w:jc w:val="both"/>
      </w:pPr>
    </w:p>
    <w:p w:rsidR="006C1DA4" w:rsidRPr="00497A4B" w:rsidRDefault="006C1DA4" w:rsidP="00BC745B">
      <w:pPr>
        <w:ind w:firstLine="720"/>
        <w:jc w:val="both"/>
        <w:rPr>
          <w:u w:val="single"/>
        </w:rPr>
      </w:pPr>
      <w:r w:rsidRPr="00497A4B">
        <w:rPr>
          <w:u w:val="single"/>
        </w:rPr>
        <w:t>CELKEM</w:t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proofErr w:type="gramStart"/>
      <w:r w:rsidRPr="00497A4B">
        <w:rPr>
          <w:u w:val="single"/>
        </w:rPr>
        <w:tab/>
      </w:r>
      <w:r w:rsidR="00F96931" w:rsidRPr="00497A4B">
        <w:rPr>
          <w:u w:val="single"/>
        </w:rPr>
        <w:t xml:space="preserve">  </w:t>
      </w:r>
      <w:r w:rsidR="00CC1452" w:rsidRPr="00497A4B">
        <w:rPr>
          <w:u w:val="single"/>
        </w:rPr>
        <w:t>1</w:t>
      </w:r>
      <w:proofErr w:type="gramEnd"/>
      <w:r w:rsidR="00CC1452" w:rsidRPr="00497A4B">
        <w:rPr>
          <w:u w:val="single"/>
        </w:rPr>
        <w:t xml:space="preserve"> </w:t>
      </w:r>
      <w:r w:rsidR="00D47743" w:rsidRPr="00497A4B">
        <w:rPr>
          <w:u w:val="single"/>
        </w:rPr>
        <w:t>3</w:t>
      </w:r>
      <w:r w:rsidR="001146E9">
        <w:rPr>
          <w:u w:val="single"/>
        </w:rPr>
        <w:t>7</w:t>
      </w:r>
      <w:r w:rsidR="00D47743" w:rsidRPr="00497A4B">
        <w:rPr>
          <w:u w:val="single"/>
        </w:rPr>
        <w:t>5</w:t>
      </w:r>
      <w:r w:rsidRPr="00497A4B">
        <w:rPr>
          <w:u w:val="single"/>
        </w:rPr>
        <w:t> </w:t>
      </w:r>
      <w:r w:rsidR="001146E9">
        <w:rPr>
          <w:u w:val="single"/>
        </w:rPr>
        <w:t>500</w:t>
      </w:r>
      <w:r w:rsidRPr="00497A4B">
        <w:rPr>
          <w:u w:val="single"/>
        </w:rPr>
        <w:t>,</w:t>
      </w:r>
      <w:r w:rsidR="001146E9">
        <w:rPr>
          <w:u w:val="single"/>
        </w:rPr>
        <w:t>13</w:t>
      </w:r>
      <w:r w:rsidRPr="00497A4B">
        <w:rPr>
          <w:u w:val="single"/>
        </w:rP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7C17C8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497A4B" w:rsidRDefault="00497A4B" w:rsidP="005A5E61">
      <w:pPr>
        <w:jc w:val="both"/>
      </w:pPr>
    </w:p>
    <w:p w:rsidR="009D7A8D" w:rsidRDefault="009D7A8D" w:rsidP="005A5E61">
      <w:pPr>
        <w:jc w:val="both"/>
      </w:pPr>
    </w:p>
    <w:p w:rsidR="001146E9" w:rsidRPr="001146E9" w:rsidRDefault="009A4444" w:rsidP="001146E9">
      <w:pPr>
        <w:jc w:val="both"/>
        <w:rPr>
          <w:b/>
        </w:rPr>
      </w:pPr>
      <w:proofErr w:type="spellStart"/>
      <w:r w:rsidRPr="001146E9">
        <w:rPr>
          <w:b/>
        </w:rPr>
        <w:t>Add</w:t>
      </w:r>
      <w:proofErr w:type="spellEnd"/>
      <w:r w:rsidRPr="001146E9">
        <w:rPr>
          <w:b/>
        </w:rPr>
        <w:t>. 4.</w:t>
      </w:r>
      <w:r w:rsidR="00F548AE" w:rsidRPr="001146E9">
        <w:rPr>
          <w:b/>
        </w:rPr>
        <w:tab/>
      </w:r>
      <w:r w:rsidR="001146E9" w:rsidRPr="001146E9">
        <w:rPr>
          <w:b/>
        </w:rPr>
        <w:t>Výsledek dílčího přezkoumání hospodaření obce za 1. pololetí 2018.</w:t>
      </w:r>
    </w:p>
    <w:p w:rsidR="001146E9" w:rsidRDefault="001146E9" w:rsidP="00AB4BAD">
      <w:pPr>
        <w:jc w:val="both"/>
        <w:rPr>
          <w:b/>
        </w:rPr>
      </w:pPr>
    </w:p>
    <w:p w:rsidR="001146E9" w:rsidRDefault="001146E9" w:rsidP="00AB4BAD">
      <w:pPr>
        <w:jc w:val="both"/>
        <w:rPr>
          <w:b/>
          <w:bCs/>
        </w:rPr>
      </w:pPr>
    </w:p>
    <w:p w:rsidR="001146E9" w:rsidRDefault="001146E9" w:rsidP="001146E9">
      <w:pPr>
        <w:ind w:firstLine="720"/>
        <w:jc w:val="both"/>
        <w:rPr>
          <w:bCs/>
        </w:rPr>
      </w:pPr>
      <w:r w:rsidRPr="001146E9">
        <w:rPr>
          <w:bCs/>
        </w:rPr>
        <w:t>Dne 6.8.</w:t>
      </w:r>
      <w:r>
        <w:rPr>
          <w:bCs/>
        </w:rPr>
        <w:t xml:space="preserve">2018 bylo provedeno </w:t>
      </w:r>
      <w:r w:rsidRPr="001146E9">
        <w:rPr>
          <w:bCs/>
        </w:rPr>
        <w:t>dílčí přezkoumání hospodaření obce za 1. pololetí 2018</w:t>
      </w:r>
      <w:r>
        <w:rPr>
          <w:bCs/>
        </w:rPr>
        <w:t>, s </w:t>
      </w:r>
      <w:r w:rsidRPr="001146E9">
        <w:rPr>
          <w:bCs/>
        </w:rPr>
        <w:t>výsledkem</w:t>
      </w:r>
      <w:r>
        <w:rPr>
          <w:bCs/>
        </w:rPr>
        <w:t xml:space="preserve">, </w:t>
      </w:r>
      <w:r w:rsidRPr="001146E9">
        <w:rPr>
          <w:bCs/>
        </w:rPr>
        <w:t>že</w:t>
      </w:r>
      <w:r>
        <w:rPr>
          <w:bCs/>
        </w:rPr>
        <w:t xml:space="preserve"> nebyly zjištěny závažné chyby a nedostatky.</w:t>
      </w:r>
      <w:r w:rsidR="00C31716">
        <w:rPr>
          <w:bCs/>
        </w:rPr>
        <w:t xml:space="preserve"> Drobné nedostatky byly zjištěny v zaúčtování faktur na správnou položku. Tyto chyby budou neprodleně odstraněny.</w:t>
      </w:r>
    </w:p>
    <w:p w:rsidR="00C31716" w:rsidRDefault="00C31716" w:rsidP="001146E9">
      <w:pPr>
        <w:ind w:firstLine="720"/>
        <w:jc w:val="both"/>
        <w:rPr>
          <w:bCs/>
        </w:rPr>
      </w:pPr>
    </w:p>
    <w:p w:rsidR="00C31716" w:rsidRPr="001146E9" w:rsidRDefault="00C31716" w:rsidP="001146E9">
      <w:pPr>
        <w:ind w:firstLine="720"/>
        <w:jc w:val="both"/>
        <w:rPr>
          <w:bCs/>
        </w:rPr>
      </w:pPr>
      <w:r>
        <w:rPr>
          <w:bCs/>
        </w:rPr>
        <w:t>OZ bere na vědomí.</w:t>
      </w:r>
    </w:p>
    <w:p w:rsidR="001146E9" w:rsidRPr="001146E9" w:rsidRDefault="001146E9" w:rsidP="00AB4BAD">
      <w:pPr>
        <w:jc w:val="both"/>
        <w:rPr>
          <w:bCs/>
        </w:rPr>
      </w:pPr>
    </w:p>
    <w:p w:rsidR="001146E9" w:rsidRDefault="001146E9" w:rsidP="00AB4BAD">
      <w:pPr>
        <w:jc w:val="both"/>
        <w:rPr>
          <w:b/>
          <w:bCs/>
        </w:rPr>
      </w:pPr>
    </w:p>
    <w:p w:rsidR="001146E9" w:rsidRDefault="001146E9" w:rsidP="00AB4BAD">
      <w:pPr>
        <w:jc w:val="both"/>
        <w:rPr>
          <w:b/>
          <w:bCs/>
        </w:rPr>
      </w:pPr>
    </w:p>
    <w:p w:rsidR="00795945" w:rsidRPr="0090405D" w:rsidRDefault="00795945" w:rsidP="00D670C5">
      <w:pPr>
        <w:ind w:left="1440"/>
        <w:jc w:val="both"/>
        <w:rPr>
          <w:i/>
        </w:rPr>
      </w:pPr>
    </w:p>
    <w:p w:rsidR="00C31716" w:rsidRPr="00C31716" w:rsidRDefault="005D24F0" w:rsidP="00C31716">
      <w:pPr>
        <w:jc w:val="both"/>
        <w:rPr>
          <w:b/>
        </w:rPr>
      </w:pPr>
      <w:proofErr w:type="spellStart"/>
      <w:r w:rsidRPr="00C31716">
        <w:rPr>
          <w:b/>
          <w:bCs/>
        </w:rPr>
        <w:t>Add</w:t>
      </w:r>
      <w:proofErr w:type="spellEnd"/>
      <w:r w:rsidRPr="00C31716">
        <w:rPr>
          <w:b/>
          <w:bCs/>
        </w:rPr>
        <w:t>.</w:t>
      </w:r>
      <w:r w:rsidR="003D1395" w:rsidRPr="00C31716">
        <w:rPr>
          <w:b/>
          <w:bCs/>
        </w:rPr>
        <w:t xml:space="preserve"> </w:t>
      </w:r>
      <w:r w:rsidR="00BC5524" w:rsidRPr="00C31716">
        <w:rPr>
          <w:b/>
          <w:bCs/>
        </w:rPr>
        <w:t>5</w:t>
      </w:r>
      <w:r w:rsidRPr="00C31716">
        <w:rPr>
          <w:b/>
          <w:bCs/>
        </w:rPr>
        <w:t>.</w:t>
      </w:r>
      <w:r w:rsidRPr="00C31716">
        <w:rPr>
          <w:b/>
          <w:bCs/>
        </w:rPr>
        <w:tab/>
      </w:r>
      <w:r w:rsidR="00C31716" w:rsidRPr="00C31716">
        <w:rPr>
          <w:b/>
        </w:rPr>
        <w:t>Rozpočtové opatření č. 2/2018.</w:t>
      </w:r>
    </w:p>
    <w:p w:rsidR="0010485F" w:rsidRDefault="0010485F" w:rsidP="00C31716">
      <w:pPr>
        <w:jc w:val="both"/>
        <w:rPr>
          <w:b/>
          <w:bCs/>
        </w:rPr>
      </w:pPr>
    </w:p>
    <w:p w:rsidR="00C31716" w:rsidRDefault="00C31716" w:rsidP="00C31716">
      <w:pPr>
        <w:jc w:val="both"/>
      </w:pPr>
    </w:p>
    <w:p w:rsidR="00C31716" w:rsidRDefault="00C31716" w:rsidP="00C31716">
      <w:pPr>
        <w:jc w:val="both"/>
        <w:rPr>
          <w:rFonts w:eastAsiaTheme="minorHAnsi"/>
          <w:bCs/>
        </w:rPr>
      </w:pPr>
      <w:r>
        <w:tab/>
      </w:r>
      <w:r>
        <w:t xml:space="preserve">Účetní obce navrhla provézt Rozpočtové opatření č. </w:t>
      </w:r>
      <w:r>
        <w:t>2</w:t>
      </w:r>
      <w:r>
        <w:t xml:space="preserve"> na rok 2018 z důvodu zvýšení příjmů obce z</w:t>
      </w:r>
      <w:r>
        <w:t> poplatků, příjmů za odpady a výnosů z pronájmů pozemků. Došlo ke zvýšení výdajů z důvodů dostavby vodovodu za školou a s růstem výdajů spojených s těžbou dřeva po kůrovcovém napadení obecních lesů.</w:t>
      </w:r>
      <w:r>
        <w:t xml:space="preserve"> Kompletní rozpočtová změna je v příloze tohoto zápisu.</w:t>
      </w:r>
      <w:r>
        <w:rPr>
          <w:rFonts w:eastAsiaTheme="minorHAnsi"/>
          <w:bCs/>
        </w:rPr>
        <w:t xml:space="preserve"> </w:t>
      </w:r>
    </w:p>
    <w:p w:rsidR="00C31716" w:rsidRDefault="00C31716" w:rsidP="00C31716">
      <w:pPr>
        <w:jc w:val="both"/>
      </w:pPr>
    </w:p>
    <w:p w:rsidR="00C31716" w:rsidRPr="00AE19D1" w:rsidRDefault="00C31716" w:rsidP="00C31716">
      <w:pPr>
        <w:jc w:val="both"/>
      </w:pPr>
      <w:r w:rsidRPr="00AE19D1">
        <w:t>OZ souhlasí.</w:t>
      </w:r>
    </w:p>
    <w:p w:rsidR="00C31716" w:rsidRDefault="00C31716" w:rsidP="00C31716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31716" w:rsidRDefault="00C31716" w:rsidP="00C31716">
      <w:pPr>
        <w:jc w:val="both"/>
      </w:pPr>
    </w:p>
    <w:p w:rsidR="00C31716" w:rsidRDefault="00C31716" w:rsidP="00C31716">
      <w:pPr>
        <w:jc w:val="both"/>
      </w:pPr>
    </w:p>
    <w:p w:rsidR="00C31716" w:rsidRDefault="00C31716" w:rsidP="00C31716">
      <w:pPr>
        <w:jc w:val="both"/>
        <w:rPr>
          <w:b/>
        </w:rPr>
      </w:pPr>
      <w:proofErr w:type="spellStart"/>
      <w:r w:rsidRPr="00C31716">
        <w:rPr>
          <w:b/>
          <w:bCs/>
        </w:rPr>
        <w:t>Add</w:t>
      </w:r>
      <w:proofErr w:type="spellEnd"/>
      <w:r w:rsidRPr="00C31716">
        <w:rPr>
          <w:b/>
          <w:bCs/>
        </w:rPr>
        <w:t xml:space="preserve">. </w:t>
      </w:r>
      <w:r>
        <w:rPr>
          <w:b/>
          <w:bCs/>
        </w:rPr>
        <w:t>6</w:t>
      </w:r>
      <w:r w:rsidRPr="00C31716">
        <w:rPr>
          <w:b/>
          <w:bCs/>
        </w:rPr>
        <w:t>.</w:t>
      </w:r>
      <w:r w:rsidRPr="00C31716">
        <w:rPr>
          <w:b/>
          <w:bCs/>
        </w:rPr>
        <w:tab/>
      </w:r>
      <w:r w:rsidRPr="00C31716">
        <w:rPr>
          <w:b/>
        </w:rPr>
        <w:t>Přidělení čísla popisného</w:t>
      </w:r>
      <w:r w:rsidRPr="00C31716">
        <w:rPr>
          <w:b/>
        </w:rPr>
        <w:t>.</w:t>
      </w:r>
    </w:p>
    <w:p w:rsidR="00C31716" w:rsidRDefault="00C31716" w:rsidP="00C31716">
      <w:pPr>
        <w:jc w:val="both"/>
        <w:rPr>
          <w:b/>
        </w:rPr>
      </w:pPr>
    </w:p>
    <w:p w:rsidR="00351E06" w:rsidRDefault="00C31716" w:rsidP="00351E0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cs-CZ"/>
        </w:rPr>
      </w:pPr>
      <w:r w:rsidRPr="00351E06">
        <w:tab/>
        <w:t xml:space="preserve">Do datové schránky přišla žádost </w:t>
      </w:r>
      <w:r w:rsidR="00351E06">
        <w:t>M</w:t>
      </w:r>
      <w:r w:rsidR="00351E06" w:rsidRPr="00351E06">
        <w:rPr>
          <w:bCs/>
          <w:lang w:eastAsia="cs-CZ"/>
        </w:rPr>
        <w:t>ěstsk</w:t>
      </w:r>
      <w:r w:rsidR="00351E06">
        <w:rPr>
          <w:bCs/>
          <w:lang w:eastAsia="cs-CZ"/>
        </w:rPr>
        <w:t>ého</w:t>
      </w:r>
      <w:r w:rsidR="00351E06" w:rsidRPr="00351E06">
        <w:rPr>
          <w:bCs/>
          <w:lang w:eastAsia="cs-CZ"/>
        </w:rPr>
        <w:t xml:space="preserve"> úřad</w:t>
      </w:r>
      <w:r w:rsidR="00351E06">
        <w:rPr>
          <w:bCs/>
          <w:lang w:eastAsia="cs-CZ"/>
        </w:rPr>
        <w:t>u</w:t>
      </w:r>
      <w:r w:rsidR="00351E06" w:rsidRPr="00351E06">
        <w:rPr>
          <w:bCs/>
          <w:lang w:eastAsia="cs-CZ"/>
        </w:rPr>
        <w:t xml:space="preserve"> </w:t>
      </w:r>
      <w:r w:rsidR="00351E06">
        <w:rPr>
          <w:bCs/>
          <w:lang w:eastAsia="cs-CZ"/>
        </w:rPr>
        <w:t>B</w:t>
      </w:r>
      <w:r w:rsidR="00351E06" w:rsidRPr="00351E06">
        <w:rPr>
          <w:bCs/>
          <w:lang w:eastAsia="cs-CZ"/>
        </w:rPr>
        <w:t>echyně</w:t>
      </w:r>
      <w:r w:rsidR="00351E06">
        <w:rPr>
          <w:bCs/>
          <w:lang w:eastAsia="cs-CZ"/>
        </w:rPr>
        <w:t>, O</w:t>
      </w:r>
      <w:r w:rsidR="00351E06" w:rsidRPr="00351E06">
        <w:rPr>
          <w:iCs/>
          <w:lang w:eastAsia="cs-CZ"/>
        </w:rPr>
        <w:t>dbor</w:t>
      </w:r>
      <w:r w:rsidR="00351E06">
        <w:rPr>
          <w:iCs/>
          <w:lang w:eastAsia="cs-CZ"/>
        </w:rPr>
        <w:t>u</w:t>
      </w:r>
      <w:r w:rsidR="00351E06" w:rsidRPr="00351E06">
        <w:rPr>
          <w:iCs/>
          <w:lang w:eastAsia="cs-CZ"/>
        </w:rPr>
        <w:t xml:space="preserve"> výstavby a životního prostředí</w:t>
      </w:r>
      <w:r w:rsidR="00351E06">
        <w:rPr>
          <w:iCs/>
          <w:lang w:eastAsia="cs-CZ"/>
        </w:rPr>
        <w:t xml:space="preserve"> kde 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jako stavební ú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ad p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íslušný podle § 13 odst. 1 písm. d)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 xml:space="preserve"> 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 xml:space="preserve">zákona 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 xml:space="preserve">. 183/2006 Sb., o územním plánování a stavebním 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ádu (stavební zákon), v platném zn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ní, (dále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 xml:space="preserve"> 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 xml:space="preserve">jen "stavební zákon"), podle § </w:t>
      </w:r>
      <w:proofErr w:type="gramStart"/>
      <w:r w:rsidR="00351E06">
        <w:rPr>
          <w:rFonts w:ascii="Times-Roman" w:hAnsi="Times-Roman" w:cs="Times-Roman"/>
          <w:sz w:val="22"/>
          <w:szCs w:val="22"/>
          <w:lang w:eastAsia="cs-CZ"/>
        </w:rPr>
        <w:t>31a</w:t>
      </w:r>
      <w:proofErr w:type="gramEnd"/>
      <w:r w:rsidR="00351E06">
        <w:rPr>
          <w:rFonts w:ascii="Times-Roman" w:hAnsi="Times-Roman" w:cs="Times-Roman"/>
          <w:sz w:val="22"/>
          <w:szCs w:val="22"/>
          <w:lang w:eastAsia="cs-CZ"/>
        </w:rPr>
        <w:t xml:space="preserve"> odst. 1 písm. a) zákona 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. 128/2000 Sb., o obcích (obecní z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ízení), ve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 xml:space="preserve"> 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zn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ní pozd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jších p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edpis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ů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 xml:space="preserve"> vyzval 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obecní ú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ad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 xml:space="preserve"> Haškovcovy Lhoty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, aby nov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 xml:space="preserve">ě 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vzniklé budov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 xml:space="preserve">ě 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p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id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 xml:space="preserve">lil popisné </w:t>
      </w:r>
      <w:r w:rsidR="00351E06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 w:rsidR="00351E06">
        <w:rPr>
          <w:rFonts w:ascii="Times-Roman" w:hAnsi="Times-Roman" w:cs="Times-Roman"/>
          <w:sz w:val="22"/>
          <w:szCs w:val="22"/>
          <w:lang w:eastAsia="cs-CZ"/>
        </w:rPr>
        <w:t>íslo.</w:t>
      </w:r>
    </w:p>
    <w:p w:rsidR="00C31716" w:rsidRDefault="00351E06" w:rsidP="00351E06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2"/>
          <w:szCs w:val="22"/>
          <w:lang w:eastAsia="cs-CZ"/>
        </w:rPr>
      </w:pPr>
      <w:r>
        <w:rPr>
          <w:rFonts w:ascii="Times-Roman" w:hAnsi="Times-Roman" w:cs="Times-Roman"/>
          <w:sz w:val="22"/>
          <w:szCs w:val="22"/>
          <w:lang w:eastAsia="cs-CZ"/>
        </w:rPr>
        <w:t>Vzhledem k tomu, že stavba na pozemku st. p. 19/1 v katastrálním území Haškovcova Lhota má vymezen</w:t>
      </w:r>
      <w:r>
        <w:rPr>
          <w:rFonts w:ascii="Times-Roman" w:hAnsi="Times-Roman" w:cs="Times-Roman"/>
          <w:sz w:val="22"/>
          <w:szCs w:val="22"/>
          <w:lang w:eastAsia="cs-CZ"/>
        </w:rPr>
        <w:t xml:space="preserve"> </w:t>
      </w:r>
      <w:r>
        <w:rPr>
          <w:rFonts w:ascii="Times-Roman" w:hAnsi="Times-Roman" w:cs="Times-Roman"/>
          <w:sz w:val="22"/>
          <w:szCs w:val="22"/>
          <w:lang w:eastAsia="cs-CZ"/>
        </w:rPr>
        <w:t>nový zp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ů</w:t>
      </w:r>
      <w:r>
        <w:rPr>
          <w:rFonts w:ascii="Times-Roman" w:hAnsi="Times-Roman" w:cs="Times-Roman"/>
          <w:sz w:val="22"/>
          <w:szCs w:val="22"/>
          <w:lang w:eastAsia="cs-CZ"/>
        </w:rPr>
        <w:t xml:space="preserve">sob </w:t>
      </w:r>
      <w:proofErr w:type="gramStart"/>
      <w:r>
        <w:rPr>
          <w:rFonts w:ascii="Times-Roman" w:hAnsi="Times-Roman" w:cs="Times-Roman"/>
          <w:sz w:val="22"/>
          <w:szCs w:val="22"/>
          <w:lang w:eastAsia="cs-CZ"/>
        </w:rPr>
        <w:t>užívání</w:t>
      </w:r>
      <w:proofErr w:type="gramEnd"/>
      <w:r>
        <w:rPr>
          <w:rFonts w:ascii="Times-Roman" w:hAnsi="Times-Roman" w:cs="Times-Roman"/>
          <w:sz w:val="22"/>
          <w:szCs w:val="22"/>
          <w:lang w:eastAsia="cs-CZ"/>
        </w:rPr>
        <w:t xml:space="preserve"> a to rodinný d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ů</w:t>
      </w:r>
      <w:r>
        <w:rPr>
          <w:rFonts w:ascii="Times-Roman" w:hAnsi="Times-Roman" w:cs="Times-Roman"/>
          <w:sz w:val="22"/>
          <w:szCs w:val="22"/>
          <w:lang w:eastAsia="cs-CZ"/>
        </w:rPr>
        <w:t>m, m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ů</w:t>
      </w:r>
      <w:r>
        <w:rPr>
          <w:rFonts w:ascii="Times-Roman" w:hAnsi="Times-Roman" w:cs="Times-Roman"/>
          <w:sz w:val="22"/>
          <w:szCs w:val="22"/>
          <w:lang w:eastAsia="cs-CZ"/>
        </w:rPr>
        <w:t xml:space="preserve">že nést pouze 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>
        <w:rPr>
          <w:rFonts w:ascii="Times-Roman" w:hAnsi="Times-Roman" w:cs="Times-Roman"/>
          <w:sz w:val="22"/>
          <w:szCs w:val="22"/>
          <w:lang w:eastAsia="cs-CZ"/>
        </w:rPr>
        <w:t>íslo popisné. Souhlas se zm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>
        <w:rPr>
          <w:rFonts w:ascii="Times-Roman" w:hAnsi="Times-Roman" w:cs="Times-Roman"/>
          <w:sz w:val="22"/>
          <w:szCs w:val="22"/>
          <w:lang w:eastAsia="cs-CZ"/>
        </w:rPr>
        <w:t>nou v</w:t>
      </w:r>
      <w:r>
        <w:rPr>
          <w:rFonts w:ascii="Times-Roman" w:hAnsi="Times-Roman" w:cs="Times-Roman"/>
          <w:sz w:val="22"/>
          <w:szCs w:val="22"/>
          <w:lang w:eastAsia="cs-CZ"/>
        </w:rPr>
        <w:t> </w:t>
      </w:r>
      <w:r>
        <w:rPr>
          <w:rFonts w:ascii="Times-Roman" w:hAnsi="Times-Roman" w:cs="Times-Roman"/>
          <w:sz w:val="22"/>
          <w:szCs w:val="22"/>
          <w:lang w:eastAsia="cs-CZ"/>
        </w:rPr>
        <w:t>užívání</w:t>
      </w:r>
      <w:r>
        <w:rPr>
          <w:rFonts w:ascii="Times-Roman" w:hAnsi="Times-Roman" w:cs="Times-Roman"/>
          <w:sz w:val="22"/>
          <w:szCs w:val="22"/>
          <w:lang w:eastAsia="cs-CZ"/>
        </w:rPr>
        <w:t xml:space="preserve"> </w:t>
      </w:r>
      <w:r>
        <w:rPr>
          <w:rFonts w:ascii="Times-Roman" w:hAnsi="Times-Roman" w:cs="Times-Roman"/>
          <w:sz w:val="22"/>
          <w:szCs w:val="22"/>
          <w:lang w:eastAsia="cs-CZ"/>
        </w:rPr>
        <w:t>stavby byl vydán dne 6. 9. 2018, spis. zn. BE-10035/2018/</w:t>
      </w:r>
      <w:proofErr w:type="spellStart"/>
      <w:r>
        <w:rPr>
          <w:rFonts w:ascii="Times-Roman" w:hAnsi="Times-Roman" w:cs="Times-Roman"/>
          <w:sz w:val="22"/>
          <w:szCs w:val="22"/>
          <w:lang w:eastAsia="cs-CZ"/>
        </w:rPr>
        <w:t>VaŽP</w:t>
      </w:r>
      <w:proofErr w:type="spellEnd"/>
      <w:r>
        <w:rPr>
          <w:rFonts w:ascii="Times-Roman" w:hAnsi="Times-Roman" w:cs="Times-Roman"/>
          <w:sz w:val="22"/>
          <w:szCs w:val="22"/>
          <w:lang w:eastAsia="cs-CZ"/>
        </w:rPr>
        <w:t>/</w:t>
      </w:r>
      <w:proofErr w:type="spellStart"/>
      <w:r>
        <w:rPr>
          <w:rFonts w:ascii="Times-Roman" w:hAnsi="Times-Roman" w:cs="Times-Roman"/>
          <w:sz w:val="22"/>
          <w:szCs w:val="22"/>
          <w:lang w:eastAsia="cs-CZ"/>
        </w:rPr>
        <w:t>Ši</w:t>
      </w:r>
      <w:proofErr w:type="spellEnd"/>
      <w:r>
        <w:rPr>
          <w:rFonts w:ascii="Times-Roman" w:hAnsi="Times-Roman" w:cs="Times-Roman"/>
          <w:sz w:val="22"/>
          <w:szCs w:val="22"/>
          <w:lang w:eastAsia="cs-CZ"/>
        </w:rPr>
        <w:t xml:space="preserve"> a 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>
        <w:rPr>
          <w:rFonts w:ascii="Times-Roman" w:hAnsi="Times-Roman" w:cs="Times-Roman"/>
          <w:sz w:val="22"/>
          <w:szCs w:val="22"/>
          <w:lang w:eastAsia="cs-CZ"/>
        </w:rPr>
        <w:t>. j. BE-10426/2018. V souladu s §</w:t>
      </w:r>
      <w:r>
        <w:rPr>
          <w:rFonts w:ascii="Times-Roman" w:hAnsi="Times-Roman" w:cs="Times-Roman"/>
          <w:sz w:val="22"/>
          <w:szCs w:val="22"/>
          <w:lang w:eastAsia="cs-CZ"/>
        </w:rPr>
        <w:t xml:space="preserve"> </w:t>
      </w:r>
      <w:r>
        <w:rPr>
          <w:rFonts w:ascii="Times-Roman" w:hAnsi="Times-Roman" w:cs="Times-Roman"/>
          <w:sz w:val="22"/>
          <w:szCs w:val="22"/>
          <w:lang w:eastAsia="cs-CZ"/>
        </w:rPr>
        <w:t>32 odst. 2 zákona o obcích stavební ú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>
        <w:rPr>
          <w:rFonts w:ascii="Times-Roman" w:hAnsi="Times-Roman" w:cs="Times-Roman"/>
          <w:sz w:val="22"/>
          <w:szCs w:val="22"/>
          <w:lang w:eastAsia="cs-CZ"/>
        </w:rPr>
        <w:t xml:space="preserve">ad obec vyzývá, aby 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>
        <w:rPr>
          <w:rFonts w:ascii="Times-Roman" w:hAnsi="Times-Roman" w:cs="Times-Roman"/>
          <w:sz w:val="22"/>
          <w:szCs w:val="22"/>
          <w:lang w:eastAsia="cs-CZ"/>
        </w:rPr>
        <w:t>íslo eviden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>
        <w:rPr>
          <w:rFonts w:ascii="Times-Roman" w:hAnsi="Times-Roman" w:cs="Times-Roman"/>
          <w:sz w:val="22"/>
          <w:szCs w:val="22"/>
          <w:lang w:eastAsia="cs-CZ"/>
        </w:rPr>
        <w:t>ní 2 p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>
        <w:rPr>
          <w:rFonts w:ascii="Times-Roman" w:hAnsi="Times-Roman" w:cs="Times-Roman"/>
          <w:sz w:val="22"/>
          <w:szCs w:val="22"/>
          <w:lang w:eastAsia="cs-CZ"/>
        </w:rPr>
        <w:t>id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>
        <w:rPr>
          <w:rFonts w:ascii="Times-Roman" w:hAnsi="Times-Roman" w:cs="Times-Roman"/>
          <w:sz w:val="22"/>
          <w:szCs w:val="22"/>
          <w:lang w:eastAsia="cs-CZ"/>
        </w:rPr>
        <w:t>lené stavb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 xml:space="preserve">ě </w:t>
      </w:r>
      <w:r>
        <w:rPr>
          <w:rFonts w:ascii="Times-Roman" w:hAnsi="Times-Roman" w:cs="Times-Roman"/>
          <w:sz w:val="22"/>
          <w:szCs w:val="22"/>
          <w:lang w:eastAsia="cs-CZ"/>
        </w:rPr>
        <w:t>pro</w:t>
      </w:r>
      <w:r>
        <w:rPr>
          <w:rFonts w:ascii="Times-Roman" w:hAnsi="Times-Roman" w:cs="Times-Roman"/>
          <w:sz w:val="22"/>
          <w:szCs w:val="22"/>
          <w:lang w:eastAsia="cs-CZ"/>
        </w:rPr>
        <w:t xml:space="preserve"> </w:t>
      </w:r>
      <w:r>
        <w:rPr>
          <w:rFonts w:ascii="Times-Roman" w:hAnsi="Times-Roman" w:cs="Times-Roman"/>
          <w:sz w:val="22"/>
          <w:szCs w:val="22"/>
          <w:lang w:eastAsia="cs-CZ"/>
        </w:rPr>
        <w:t>individuální rekreaci p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>
        <w:rPr>
          <w:rFonts w:ascii="Times-Roman" w:hAnsi="Times-Roman" w:cs="Times-Roman"/>
          <w:sz w:val="22"/>
          <w:szCs w:val="22"/>
          <w:lang w:eastAsia="cs-CZ"/>
        </w:rPr>
        <w:t>e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>
        <w:rPr>
          <w:rFonts w:ascii="Times-Roman" w:hAnsi="Times-Roman" w:cs="Times-Roman"/>
          <w:sz w:val="22"/>
          <w:szCs w:val="22"/>
          <w:lang w:eastAsia="cs-CZ"/>
        </w:rPr>
        <w:t xml:space="preserve">íslovala na </w:t>
      </w:r>
      <w:r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>
        <w:rPr>
          <w:rFonts w:ascii="Times-Roman" w:hAnsi="Times-Roman" w:cs="Times-Roman"/>
          <w:sz w:val="22"/>
          <w:szCs w:val="22"/>
          <w:lang w:eastAsia="cs-CZ"/>
        </w:rPr>
        <w:t>íslo popisné.</w:t>
      </w:r>
    </w:p>
    <w:p w:rsidR="00351E06" w:rsidRPr="00351E06" w:rsidRDefault="00351E06" w:rsidP="00351E06">
      <w:pPr>
        <w:autoSpaceDE w:val="0"/>
        <w:autoSpaceDN w:val="0"/>
        <w:adjustRightInd w:val="0"/>
      </w:pPr>
      <w:r>
        <w:tab/>
        <w:t>Předseda stavební komise navrhl, aby domu rodiny Vágnerovy bylo přiděleno č. 16.</w:t>
      </w:r>
    </w:p>
    <w:p w:rsidR="00C31716" w:rsidRDefault="00C31716" w:rsidP="00C31716">
      <w:pPr>
        <w:jc w:val="both"/>
      </w:pPr>
    </w:p>
    <w:p w:rsidR="00351E06" w:rsidRPr="00AE19D1" w:rsidRDefault="00351E06" w:rsidP="00351E06">
      <w:pPr>
        <w:jc w:val="both"/>
      </w:pPr>
      <w:r w:rsidRPr="00AE19D1">
        <w:t>OZ souhlasí.</w:t>
      </w:r>
    </w:p>
    <w:p w:rsidR="00C31716" w:rsidRDefault="00351E06" w:rsidP="00351E06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351E06" w:rsidRDefault="00351E06" w:rsidP="00351E06">
      <w:pPr>
        <w:jc w:val="both"/>
      </w:pPr>
    </w:p>
    <w:p w:rsidR="00C31716" w:rsidRDefault="00C31716" w:rsidP="00C31716">
      <w:pPr>
        <w:jc w:val="both"/>
      </w:pPr>
    </w:p>
    <w:p w:rsidR="00C31716" w:rsidRPr="007C17C8" w:rsidRDefault="00351E06" w:rsidP="00C31716">
      <w:pPr>
        <w:jc w:val="both"/>
        <w:rPr>
          <w:b/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 7.</w:t>
      </w:r>
      <w:r>
        <w:rPr>
          <w:b/>
          <w:bCs/>
        </w:rPr>
        <w:tab/>
      </w:r>
      <w:r w:rsidR="00C31716" w:rsidRPr="007C17C8">
        <w:rPr>
          <w:b/>
          <w:bCs/>
        </w:rPr>
        <w:t>Příprava voleb do obecních zastupitelstev 2018.</w:t>
      </w:r>
    </w:p>
    <w:p w:rsidR="00C31716" w:rsidRPr="007C17C8" w:rsidRDefault="00C31716" w:rsidP="00C31716">
      <w:pPr>
        <w:jc w:val="both"/>
        <w:rPr>
          <w:b/>
        </w:rPr>
      </w:pPr>
    </w:p>
    <w:p w:rsidR="00C31716" w:rsidRDefault="00C31716" w:rsidP="00351E06">
      <w:pPr>
        <w:ind w:firstLine="720"/>
        <w:jc w:val="both"/>
        <w:rPr>
          <w:bCs/>
        </w:rPr>
      </w:pPr>
      <w:r>
        <w:rPr>
          <w:bCs/>
        </w:rPr>
        <w:t>Na základě vyhlášení voleb do obecních zastupitelstev obcí, které se budou konat 5. a 6. října 2018 stanovil</w:t>
      </w:r>
      <w:r w:rsidR="00351E06">
        <w:rPr>
          <w:bCs/>
        </w:rPr>
        <w:t xml:space="preserve"> starosta obce volební komisi </w:t>
      </w:r>
      <w:r w:rsidR="00C53C86">
        <w:rPr>
          <w:bCs/>
        </w:rPr>
        <w:t>v počtu 3 osoby a zapisovatel.</w:t>
      </w:r>
    </w:p>
    <w:p w:rsidR="00C53C86" w:rsidRDefault="00C53C86" w:rsidP="00351E06">
      <w:pPr>
        <w:ind w:firstLine="720"/>
        <w:jc w:val="both"/>
        <w:rPr>
          <w:bCs/>
        </w:rPr>
      </w:pPr>
      <w:r>
        <w:rPr>
          <w:bCs/>
        </w:rPr>
        <w:t xml:space="preserve">V obci je registrováno 9 kandidátů a jejich jmenný seznam je vyvěšen na stránkách obce. </w:t>
      </w:r>
    </w:p>
    <w:p w:rsidR="00C31716" w:rsidRPr="007C17C8" w:rsidRDefault="00C31716" w:rsidP="00C31716">
      <w:pPr>
        <w:ind w:firstLine="720"/>
        <w:jc w:val="both"/>
        <w:rPr>
          <w:b/>
        </w:rPr>
      </w:pPr>
      <w:r>
        <w:t>Úkoly vyplývající z Harmonogramu úkolů a lhůt pro volby jsou průběžně plněny a budou postupně vyvěšovány na stránkách obce.</w:t>
      </w:r>
    </w:p>
    <w:p w:rsidR="00C31716" w:rsidRPr="007C17C8" w:rsidRDefault="00C31716" w:rsidP="00C31716">
      <w:pPr>
        <w:jc w:val="both"/>
      </w:pPr>
    </w:p>
    <w:p w:rsidR="00C31716" w:rsidRPr="007C17C8" w:rsidRDefault="00C31716" w:rsidP="00C31716">
      <w:pPr>
        <w:jc w:val="both"/>
      </w:pPr>
      <w:r w:rsidRPr="007C17C8">
        <w:t>OZ schvaluje.</w:t>
      </w:r>
    </w:p>
    <w:p w:rsidR="00C31716" w:rsidRPr="007C17C8" w:rsidRDefault="00C31716" w:rsidP="00C31716">
      <w:pPr>
        <w:jc w:val="both"/>
        <w:rPr>
          <w:b/>
          <w:bCs/>
        </w:rPr>
      </w:pPr>
      <w:r w:rsidRPr="007C17C8">
        <w:t xml:space="preserve">Hlasování: pro </w:t>
      </w:r>
      <w:r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C31716" w:rsidRPr="007C17C8" w:rsidRDefault="00C31716" w:rsidP="00C31716">
      <w:pPr>
        <w:jc w:val="both"/>
      </w:pPr>
    </w:p>
    <w:p w:rsidR="00BA3467" w:rsidRPr="007C17C8" w:rsidRDefault="00BA3467" w:rsidP="0010485F">
      <w:pPr>
        <w:jc w:val="both"/>
        <w:rPr>
          <w:b/>
          <w:bCs/>
        </w:rPr>
      </w:pPr>
    </w:p>
    <w:p w:rsidR="00BA3467" w:rsidRPr="0090405D" w:rsidRDefault="00BA3467" w:rsidP="0010485F">
      <w:pPr>
        <w:jc w:val="both"/>
        <w:rPr>
          <w:b/>
          <w:bCs/>
          <w:i/>
        </w:rPr>
      </w:pPr>
    </w:p>
    <w:p w:rsidR="00826A81" w:rsidRPr="007C17C8" w:rsidRDefault="003D1395" w:rsidP="00F21D98">
      <w:pPr>
        <w:jc w:val="both"/>
        <w:rPr>
          <w:bCs/>
        </w:rPr>
      </w:pPr>
      <w:proofErr w:type="spellStart"/>
      <w:r w:rsidRPr="007C17C8">
        <w:rPr>
          <w:b/>
          <w:bCs/>
        </w:rPr>
        <w:t>Add</w:t>
      </w:r>
      <w:proofErr w:type="spellEnd"/>
      <w:r w:rsidRPr="007C17C8">
        <w:rPr>
          <w:b/>
          <w:bCs/>
        </w:rPr>
        <w:t xml:space="preserve">. </w:t>
      </w:r>
      <w:r w:rsidR="00BC5524">
        <w:rPr>
          <w:b/>
          <w:bCs/>
        </w:rPr>
        <w:t>6</w:t>
      </w:r>
      <w:r w:rsidRPr="007C17C8">
        <w:rPr>
          <w:b/>
          <w:bCs/>
        </w:rPr>
        <w:t>.</w:t>
      </w:r>
      <w:r w:rsidRPr="007C17C8">
        <w:rPr>
          <w:b/>
          <w:bCs/>
        </w:rPr>
        <w:tab/>
      </w:r>
      <w:r w:rsidR="00164D15" w:rsidRPr="007C17C8">
        <w:rPr>
          <w:b/>
          <w:bCs/>
        </w:rPr>
        <w:t xml:space="preserve">Různé </w:t>
      </w:r>
    </w:p>
    <w:p w:rsidR="007C17C8" w:rsidRPr="007C17C8" w:rsidRDefault="007C17C8" w:rsidP="007C17C8">
      <w:pPr>
        <w:rPr>
          <w:bCs/>
        </w:rPr>
      </w:pPr>
    </w:p>
    <w:p w:rsidR="00C53C86" w:rsidRPr="001E7702" w:rsidRDefault="00C53C86" w:rsidP="00C53C8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E7702">
        <w:rPr>
          <w:rFonts w:ascii="Times New Roman" w:hAnsi="Times New Roman" w:cs="Times New Roman"/>
          <w:bCs/>
        </w:rPr>
        <w:t xml:space="preserve">Dnem 20.9.2018 vstoupí v platnost </w:t>
      </w:r>
      <w:r w:rsidRPr="001E7702">
        <w:rPr>
          <w:rFonts w:ascii="Times New Roman" w:hAnsi="Times New Roman" w:cs="Times New Roman"/>
          <w:iCs/>
        </w:rPr>
        <w:t>zákon zohledňující důvěru pro elektronické transakce na vnitřním trhu (</w:t>
      </w:r>
      <w:proofErr w:type="spellStart"/>
      <w:r w:rsidRPr="001E7702">
        <w:rPr>
          <w:rFonts w:ascii="Times New Roman" w:hAnsi="Times New Roman" w:cs="Times New Roman"/>
          <w:iCs/>
        </w:rPr>
        <w:t>eIDAS</w:t>
      </w:r>
      <w:proofErr w:type="spellEnd"/>
      <w:r w:rsidRPr="001E7702">
        <w:rPr>
          <w:rFonts w:ascii="Times New Roman" w:hAnsi="Times New Roman" w:cs="Times New Roman"/>
          <w:iCs/>
        </w:rPr>
        <w:t>)</w:t>
      </w:r>
      <w:r w:rsidRPr="001E7702">
        <w:rPr>
          <w:rFonts w:ascii="Times New Roman" w:hAnsi="Times New Roman" w:cs="Times New Roman"/>
          <w:i/>
          <w:iCs/>
        </w:rPr>
        <w:t xml:space="preserve"> </w:t>
      </w:r>
      <w:r w:rsidRPr="001E7702">
        <w:rPr>
          <w:rFonts w:ascii="Times New Roman" w:hAnsi="Times New Roman" w:cs="Times New Roman"/>
          <w:iCs/>
        </w:rPr>
        <w:t>č. 297/2016 Sb. o službách vytvářejících důvěru pro elektronické transakce. Od tohoto dne</w:t>
      </w:r>
      <w:r w:rsidR="00D47F07" w:rsidRPr="001E7702">
        <w:rPr>
          <w:rFonts w:ascii="Times New Roman" w:hAnsi="Times New Roman" w:cs="Times New Roman"/>
          <w:iCs/>
        </w:rPr>
        <w:t xml:space="preserve"> </w:t>
      </w:r>
      <w:r w:rsidRPr="001E7702">
        <w:rPr>
          <w:rFonts w:ascii="Times New Roman" w:hAnsi="Times New Roman" w:cs="Times New Roman"/>
          <w:iCs/>
        </w:rPr>
        <w:t>budou kvalifikovaní poskytovatelé služeb vytvářejících důvěru (dříve kvalifikované certifikační autority) vydá</w:t>
      </w:r>
      <w:bookmarkStart w:id="0" w:name="_GoBack"/>
      <w:bookmarkEnd w:id="0"/>
      <w:r w:rsidRPr="001E7702">
        <w:rPr>
          <w:rFonts w:ascii="Times New Roman" w:hAnsi="Times New Roman" w:cs="Times New Roman"/>
          <w:iCs/>
        </w:rPr>
        <w:t xml:space="preserve">vat kvalifikovaný certifikát pro elektronický podpis pouze do tzv. kvalifikovaného prostředku pro vytváření elektronických podpisů (zkratka QSCD, od </w:t>
      </w:r>
      <w:proofErr w:type="spellStart"/>
      <w:r w:rsidRPr="001E7702">
        <w:rPr>
          <w:rFonts w:ascii="Times New Roman" w:hAnsi="Times New Roman" w:cs="Times New Roman"/>
          <w:iCs/>
        </w:rPr>
        <w:t>Qualified</w:t>
      </w:r>
      <w:proofErr w:type="spellEnd"/>
      <w:r w:rsidRPr="001E7702">
        <w:rPr>
          <w:rFonts w:ascii="Times New Roman" w:hAnsi="Times New Roman" w:cs="Times New Roman"/>
          <w:iCs/>
        </w:rPr>
        <w:t xml:space="preserve"> </w:t>
      </w:r>
      <w:proofErr w:type="spellStart"/>
      <w:r w:rsidRPr="001E7702">
        <w:rPr>
          <w:rFonts w:ascii="Times New Roman" w:hAnsi="Times New Roman" w:cs="Times New Roman"/>
          <w:iCs/>
        </w:rPr>
        <w:t>Signature</w:t>
      </w:r>
      <w:proofErr w:type="spellEnd"/>
      <w:r w:rsidRPr="001E7702">
        <w:rPr>
          <w:rFonts w:ascii="Times New Roman" w:hAnsi="Times New Roman" w:cs="Times New Roman"/>
          <w:iCs/>
        </w:rPr>
        <w:t xml:space="preserve"> </w:t>
      </w:r>
      <w:proofErr w:type="spellStart"/>
      <w:r w:rsidRPr="001E7702">
        <w:rPr>
          <w:rFonts w:ascii="Times New Roman" w:hAnsi="Times New Roman" w:cs="Times New Roman"/>
          <w:iCs/>
        </w:rPr>
        <w:t>Creation</w:t>
      </w:r>
      <w:proofErr w:type="spellEnd"/>
      <w:r w:rsidRPr="001E7702">
        <w:rPr>
          <w:rFonts w:ascii="Times New Roman" w:hAnsi="Times New Roman" w:cs="Times New Roman"/>
          <w:iCs/>
        </w:rPr>
        <w:t xml:space="preserve"> </w:t>
      </w:r>
      <w:proofErr w:type="spellStart"/>
      <w:r w:rsidRPr="001E7702">
        <w:rPr>
          <w:rFonts w:ascii="Times New Roman" w:hAnsi="Times New Roman" w:cs="Times New Roman"/>
          <w:iCs/>
        </w:rPr>
        <w:t>Device</w:t>
      </w:r>
      <w:proofErr w:type="spellEnd"/>
      <w:r w:rsidRPr="001E7702">
        <w:rPr>
          <w:rFonts w:ascii="Times New Roman" w:hAnsi="Times New Roman" w:cs="Times New Roman"/>
          <w:iCs/>
        </w:rPr>
        <w:t xml:space="preserve">). QSCD prostředek musí mít dotyčná podepisující osoba pod svou výhradní kontrolou. Nelze tedy využít jeden prostředek pro více kvalifikovaných certifikátů (ID osob). </w:t>
      </w:r>
      <w:r w:rsidRPr="001E7702">
        <w:rPr>
          <w:rFonts w:ascii="Times New Roman" w:hAnsi="Times New Roman" w:cs="Times New Roman"/>
          <w:b/>
          <w:bCs/>
        </w:rPr>
        <w:t>Tzn.: Po ukončení přechodného období bude nutné veškeré "elektronické" dokumenty opatřit kvalifikovaným podpisem na kvalifikovaném prostředku a dále opatřit časovým razítkem.</w:t>
      </w:r>
    </w:p>
    <w:p w:rsidR="00C53C86" w:rsidRPr="00D47F07" w:rsidRDefault="00C53C86" w:rsidP="00C53C86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C53C86">
        <w:rPr>
          <w:bCs/>
        </w:rPr>
        <w:t xml:space="preserve">Starosta obce zakoupil podle </w:t>
      </w:r>
      <w:r w:rsidRPr="00C53C86">
        <w:rPr>
          <w:rFonts w:ascii="Times New Roman" w:hAnsi="Times New Roman" w:cs="Times New Roman"/>
          <w:iCs/>
        </w:rPr>
        <w:t>zákon</w:t>
      </w:r>
      <w:r>
        <w:rPr>
          <w:rFonts w:ascii="Times New Roman" w:hAnsi="Times New Roman" w:cs="Times New Roman"/>
          <w:iCs/>
        </w:rPr>
        <w:t>a</w:t>
      </w:r>
      <w:r w:rsidR="00D47F07">
        <w:rPr>
          <w:rFonts w:ascii="Times New Roman" w:hAnsi="Times New Roman" w:cs="Times New Roman"/>
          <w:iCs/>
        </w:rPr>
        <w:t xml:space="preserve"> od certifikované autority (Česká pošta) token, určený pro tyto služby v ceně 709,- Kč a</w:t>
      </w:r>
    </w:p>
    <w:p w:rsidR="00D47F07" w:rsidRDefault="00D47F07" w:rsidP="00C53C86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Zabezpečil od firmy GORDIC, která je poskytovatelem IT služeb pro obec používání časového razítka v ceně cca 1,30 za jeden podpis.</w:t>
      </w:r>
    </w:p>
    <w:p w:rsidR="00D47F07" w:rsidRDefault="00D47F07" w:rsidP="00D47F07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</w:p>
    <w:p w:rsidR="00D47F07" w:rsidRPr="00D47F07" w:rsidRDefault="00D47F07" w:rsidP="00D47F07">
      <w:pPr>
        <w:ind w:left="360" w:firstLine="720"/>
        <w:jc w:val="both"/>
      </w:pPr>
      <w:r w:rsidRPr="00D47F07">
        <w:t>OZ souhlasí.</w:t>
      </w:r>
    </w:p>
    <w:p w:rsidR="00D47F07" w:rsidRPr="00D47F07" w:rsidRDefault="00D47F07" w:rsidP="00D47F07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  <w:r w:rsidRPr="00D47F07">
        <w:rPr>
          <w:rFonts w:ascii="Times New Roman" w:hAnsi="Times New Roman" w:cs="Times New Roman"/>
        </w:rPr>
        <w:t xml:space="preserve">Hlasování: pro </w:t>
      </w:r>
      <w:r w:rsidRPr="00D47F07">
        <w:rPr>
          <w:rFonts w:ascii="Times New Roman" w:hAnsi="Times New Roman" w:cs="Times New Roman"/>
        </w:rPr>
        <w:t>7</w:t>
      </w:r>
      <w:r w:rsidRPr="00D47F07">
        <w:rPr>
          <w:rFonts w:ascii="Times New Roman" w:hAnsi="Times New Roman" w:cs="Times New Roman"/>
        </w:rPr>
        <w:t xml:space="preserve">, proti 0, </w:t>
      </w:r>
      <w:r w:rsidRPr="00D47F07">
        <w:rPr>
          <w:rFonts w:ascii="Times New Roman" w:hAnsi="Times New Roman" w:cs="Times New Roman"/>
          <w:iCs/>
        </w:rPr>
        <w:t>zdrželo se 0</w:t>
      </w:r>
      <w:r w:rsidRPr="00D47F07">
        <w:rPr>
          <w:rFonts w:ascii="Times New Roman" w:hAnsi="Times New Roman" w:cs="Times New Roman"/>
        </w:rPr>
        <w:t>.</w:t>
      </w:r>
    </w:p>
    <w:p w:rsidR="00D47F07" w:rsidRPr="00D47F07" w:rsidRDefault="00D47F07" w:rsidP="00D47F07">
      <w:pPr>
        <w:ind w:left="720"/>
        <w:rPr>
          <w:bCs/>
        </w:rPr>
      </w:pPr>
    </w:p>
    <w:p w:rsidR="00D47F07" w:rsidRDefault="00D47F07" w:rsidP="006D467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Obecní telefon zapojený do </w:t>
      </w:r>
      <w:r w:rsidR="001E7702">
        <w:rPr>
          <w:bCs/>
        </w:rPr>
        <w:t>I</w:t>
      </w:r>
      <w:r>
        <w:rPr>
          <w:bCs/>
        </w:rPr>
        <w:t xml:space="preserve">ntegrovaného záchranného systému ČR přestal fungovat. Starosta obce podle </w:t>
      </w:r>
      <w:r w:rsidR="001E7702">
        <w:rPr>
          <w:bCs/>
        </w:rPr>
        <w:t>vyhlášky obce</w:t>
      </w:r>
      <w:r>
        <w:rPr>
          <w:bCs/>
        </w:rPr>
        <w:t xml:space="preserve"> zakoupil nový telefon. Telefonní číslo zůstalo stejné.</w:t>
      </w:r>
    </w:p>
    <w:p w:rsidR="00D47F07" w:rsidRDefault="00D47F07" w:rsidP="00D47F07">
      <w:pPr>
        <w:ind w:left="720"/>
        <w:rPr>
          <w:bCs/>
        </w:rPr>
      </w:pPr>
      <w:r w:rsidRPr="00D47F07">
        <w:rPr>
          <w:bCs/>
        </w:rPr>
        <w:t xml:space="preserve"> </w:t>
      </w:r>
    </w:p>
    <w:p w:rsidR="001E7702" w:rsidRPr="00D47F07" w:rsidRDefault="001E7702" w:rsidP="001E7702">
      <w:pPr>
        <w:ind w:left="360" w:firstLine="720"/>
        <w:jc w:val="both"/>
      </w:pPr>
      <w:r w:rsidRPr="00D47F07">
        <w:t>OZ souhlasí.</w:t>
      </w:r>
    </w:p>
    <w:p w:rsidR="001E7702" w:rsidRPr="00D47F07" w:rsidRDefault="001E7702" w:rsidP="001E7702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  <w:r w:rsidRPr="00D47F07">
        <w:rPr>
          <w:rFonts w:ascii="Times New Roman" w:hAnsi="Times New Roman" w:cs="Times New Roman"/>
        </w:rPr>
        <w:t xml:space="preserve">Hlasování: pro 7, proti 0, </w:t>
      </w:r>
      <w:r w:rsidRPr="00D47F07">
        <w:rPr>
          <w:rFonts w:ascii="Times New Roman" w:hAnsi="Times New Roman" w:cs="Times New Roman"/>
          <w:iCs/>
        </w:rPr>
        <w:t>zdrželo se 0</w:t>
      </w:r>
      <w:r w:rsidRPr="00D47F07">
        <w:rPr>
          <w:rFonts w:ascii="Times New Roman" w:hAnsi="Times New Roman" w:cs="Times New Roman"/>
        </w:rPr>
        <w:t>.</w:t>
      </w:r>
    </w:p>
    <w:p w:rsidR="001E7702" w:rsidRPr="00D47F07" w:rsidRDefault="001E7702" w:rsidP="00D47F07">
      <w:pPr>
        <w:ind w:left="720"/>
        <w:rPr>
          <w:bCs/>
        </w:rPr>
      </w:pPr>
    </w:p>
    <w:p w:rsidR="00D47F07" w:rsidRDefault="00D47F07" w:rsidP="006D467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Členové OZ vznesli připomínky k dokončení opravy klubovna na obecním úřadě. Starosta obce projedná s dodavatelem oken a dveří možnosti variant dokončení opravy.</w:t>
      </w:r>
    </w:p>
    <w:p w:rsidR="00D47F07" w:rsidRDefault="00D47F07" w:rsidP="00D47F07">
      <w:pPr>
        <w:pStyle w:val="Odstavecseseznamem"/>
        <w:rPr>
          <w:bCs/>
        </w:rPr>
      </w:pPr>
    </w:p>
    <w:p w:rsidR="001E7702" w:rsidRPr="00D47F07" w:rsidRDefault="001E7702" w:rsidP="001E7702">
      <w:pPr>
        <w:ind w:left="360" w:firstLine="720"/>
        <w:jc w:val="both"/>
      </w:pPr>
      <w:r w:rsidRPr="00D47F07">
        <w:t>OZ souhlasí.</w:t>
      </w:r>
    </w:p>
    <w:p w:rsidR="001E7702" w:rsidRPr="00D47F07" w:rsidRDefault="001E7702" w:rsidP="001E7702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  <w:r w:rsidRPr="00D47F07">
        <w:rPr>
          <w:rFonts w:ascii="Times New Roman" w:hAnsi="Times New Roman" w:cs="Times New Roman"/>
        </w:rPr>
        <w:t xml:space="preserve">Hlasování: pro 7, proti 0, </w:t>
      </w:r>
      <w:r w:rsidRPr="00D47F07">
        <w:rPr>
          <w:rFonts w:ascii="Times New Roman" w:hAnsi="Times New Roman" w:cs="Times New Roman"/>
          <w:iCs/>
        </w:rPr>
        <w:t>zdrželo se 0</w:t>
      </w:r>
      <w:r w:rsidRPr="00D47F07">
        <w:rPr>
          <w:rFonts w:ascii="Times New Roman" w:hAnsi="Times New Roman" w:cs="Times New Roman"/>
        </w:rPr>
        <w:t>.</w:t>
      </w:r>
    </w:p>
    <w:p w:rsidR="001E7702" w:rsidRPr="00D47F07" w:rsidRDefault="001E7702" w:rsidP="00D47F07">
      <w:pPr>
        <w:pStyle w:val="Odstavecseseznamem"/>
        <w:rPr>
          <w:bCs/>
        </w:rPr>
      </w:pPr>
    </w:p>
    <w:p w:rsidR="0066586A" w:rsidRPr="007C17C8" w:rsidRDefault="0066586A" w:rsidP="006D4679">
      <w:pPr>
        <w:pStyle w:val="Odstavecseseznamem"/>
        <w:numPr>
          <w:ilvl w:val="0"/>
          <w:numId w:val="1"/>
        </w:numPr>
        <w:rPr>
          <w:bCs/>
        </w:rPr>
      </w:pPr>
      <w:r w:rsidRPr="007C17C8">
        <w:rPr>
          <w:bCs/>
        </w:rPr>
        <w:t>Příští schůze</w:t>
      </w:r>
      <w:r w:rsidR="007226D8" w:rsidRPr="007C17C8">
        <w:rPr>
          <w:bCs/>
        </w:rPr>
        <w:t xml:space="preserve"> </w:t>
      </w:r>
      <w:r w:rsidR="009E140F" w:rsidRPr="007C17C8">
        <w:rPr>
          <w:bCs/>
        </w:rPr>
        <w:t xml:space="preserve">bude </w:t>
      </w:r>
      <w:r w:rsidR="001E7702">
        <w:rPr>
          <w:bCs/>
        </w:rPr>
        <w:t>3</w:t>
      </w:r>
      <w:r w:rsidRPr="007C17C8">
        <w:rPr>
          <w:bCs/>
        </w:rPr>
        <w:t>.</w:t>
      </w:r>
      <w:r w:rsidR="001E7702">
        <w:rPr>
          <w:bCs/>
        </w:rPr>
        <w:t>10</w:t>
      </w:r>
      <w:r w:rsidR="00BA3467" w:rsidRPr="007C17C8">
        <w:rPr>
          <w:bCs/>
        </w:rPr>
        <w:t>.</w:t>
      </w:r>
      <w:r w:rsidR="007226D8" w:rsidRPr="007C17C8">
        <w:rPr>
          <w:bCs/>
        </w:rPr>
        <w:t xml:space="preserve"> </w:t>
      </w:r>
      <w:r w:rsidRPr="007C17C8">
        <w:rPr>
          <w:bCs/>
        </w:rPr>
        <w:t>201</w:t>
      </w:r>
      <w:r w:rsidR="00BA3467" w:rsidRPr="007C17C8">
        <w:rPr>
          <w:bCs/>
        </w:rPr>
        <w:t>8</w:t>
      </w:r>
      <w:r w:rsidRPr="007C17C8">
        <w:rPr>
          <w:bCs/>
        </w:rPr>
        <w:t xml:space="preserve"> ve 20:00 hodin.</w:t>
      </w:r>
    </w:p>
    <w:p w:rsidR="000E74F9" w:rsidRPr="007C17C8" w:rsidRDefault="000E74F9" w:rsidP="000E74F9">
      <w:pPr>
        <w:ind w:left="720"/>
        <w:jc w:val="both"/>
      </w:pPr>
    </w:p>
    <w:p w:rsidR="000E74F9" w:rsidRPr="007C17C8" w:rsidRDefault="000E74F9" w:rsidP="008C0E55">
      <w:pPr>
        <w:ind w:left="1440"/>
        <w:jc w:val="both"/>
      </w:pPr>
      <w:r w:rsidRPr="007C17C8">
        <w:t>OZ souhlasí.</w:t>
      </w:r>
    </w:p>
    <w:p w:rsidR="000E74F9" w:rsidRPr="007C17C8" w:rsidRDefault="000E74F9" w:rsidP="008C0E55">
      <w:pPr>
        <w:ind w:left="1440"/>
        <w:jc w:val="both"/>
      </w:pPr>
      <w:r w:rsidRPr="007C17C8">
        <w:t xml:space="preserve">Hlasování: pro </w:t>
      </w:r>
      <w:r w:rsidR="001E7702"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795945">
        <w:t>1</w:t>
      </w:r>
      <w:r w:rsidR="002A05C2">
        <w:t>:</w:t>
      </w:r>
      <w:r w:rsidR="001E7702">
        <w:t>15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1E7702">
        <w:t>13</w:t>
      </w:r>
      <w:r w:rsidR="004E4EBE" w:rsidRPr="002573F0">
        <w:t>.</w:t>
      </w:r>
      <w:r w:rsidR="001E7702">
        <w:t>9</w:t>
      </w:r>
      <w:r w:rsidR="00BA3467">
        <w:t>.</w:t>
      </w:r>
      <w:r w:rsidR="004E4EBE" w:rsidRPr="002573F0">
        <w:t xml:space="preserve"> 201</w:t>
      </w:r>
      <w:r w:rsidR="00D61975">
        <w:t>8</w:t>
      </w:r>
    </w:p>
    <w:p w:rsidR="00866E63" w:rsidRPr="002573F0" w:rsidRDefault="00866E63" w:rsidP="00CB1320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866E63" w:rsidRDefault="00866E63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4E4EBE" w:rsidP="008D2FFD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39" w:rsidRDefault="00AD5A39">
      <w:r>
        <w:separator/>
      </w:r>
    </w:p>
  </w:endnote>
  <w:endnote w:type="continuationSeparator" w:id="0">
    <w:p w:rsidR="00AD5A39" w:rsidRDefault="00AD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3B12">
      <w:rPr>
        <w:rStyle w:val="slostrnky"/>
        <w:noProof/>
      </w:rPr>
      <w:t>2</w: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39" w:rsidRDefault="00AD5A39">
      <w:r>
        <w:separator/>
      </w:r>
    </w:p>
  </w:footnote>
  <w:footnote w:type="continuationSeparator" w:id="0">
    <w:p w:rsidR="00AD5A39" w:rsidRDefault="00AD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84"/>
    <w:multiLevelType w:val="hybridMultilevel"/>
    <w:tmpl w:val="16F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A63B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EA678C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03667AC"/>
    <w:multiLevelType w:val="hybridMultilevel"/>
    <w:tmpl w:val="1DE40C5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4453229"/>
    <w:multiLevelType w:val="hybridMultilevel"/>
    <w:tmpl w:val="13C6D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DF873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4A906A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66C6152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7E26507F"/>
    <w:multiLevelType w:val="hybridMultilevel"/>
    <w:tmpl w:val="BF5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4DA1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0F85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485F"/>
    <w:rsid w:val="00105E8C"/>
    <w:rsid w:val="001120DF"/>
    <w:rsid w:val="00112188"/>
    <w:rsid w:val="00112E95"/>
    <w:rsid w:val="001146E9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2DE"/>
    <w:rsid w:val="001E7702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38B0"/>
    <w:rsid w:val="002A5CCB"/>
    <w:rsid w:val="002B014E"/>
    <w:rsid w:val="002B5440"/>
    <w:rsid w:val="002C0497"/>
    <w:rsid w:val="002C6963"/>
    <w:rsid w:val="002D2614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1E06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24B6"/>
    <w:rsid w:val="003C51C6"/>
    <w:rsid w:val="003C6476"/>
    <w:rsid w:val="003D1395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1C5C"/>
    <w:rsid w:val="00413BE3"/>
    <w:rsid w:val="004150FC"/>
    <w:rsid w:val="004212F8"/>
    <w:rsid w:val="00425018"/>
    <w:rsid w:val="00433886"/>
    <w:rsid w:val="004338D2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872A4"/>
    <w:rsid w:val="004945D2"/>
    <w:rsid w:val="004979ED"/>
    <w:rsid w:val="00497A4B"/>
    <w:rsid w:val="004A1158"/>
    <w:rsid w:val="004A26B3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D35D8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3129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C3F1A"/>
    <w:rsid w:val="006D36EB"/>
    <w:rsid w:val="006D4679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551DD"/>
    <w:rsid w:val="007632D8"/>
    <w:rsid w:val="00767C2E"/>
    <w:rsid w:val="00771D9C"/>
    <w:rsid w:val="0077687E"/>
    <w:rsid w:val="00781158"/>
    <w:rsid w:val="00783119"/>
    <w:rsid w:val="007874F9"/>
    <w:rsid w:val="00795945"/>
    <w:rsid w:val="00795CE1"/>
    <w:rsid w:val="007A0DF6"/>
    <w:rsid w:val="007B31B2"/>
    <w:rsid w:val="007B387C"/>
    <w:rsid w:val="007B5314"/>
    <w:rsid w:val="007B5659"/>
    <w:rsid w:val="007C1025"/>
    <w:rsid w:val="007C17C8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277BB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6E63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405D"/>
    <w:rsid w:val="00905498"/>
    <w:rsid w:val="00912FA5"/>
    <w:rsid w:val="00917500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3FB5"/>
    <w:rsid w:val="009B6EC3"/>
    <w:rsid w:val="009B760B"/>
    <w:rsid w:val="009C41D9"/>
    <w:rsid w:val="009D04AE"/>
    <w:rsid w:val="009D10B9"/>
    <w:rsid w:val="009D14AD"/>
    <w:rsid w:val="009D177E"/>
    <w:rsid w:val="009D369B"/>
    <w:rsid w:val="009D7A8D"/>
    <w:rsid w:val="009E140F"/>
    <w:rsid w:val="009E341B"/>
    <w:rsid w:val="009E4583"/>
    <w:rsid w:val="009E501B"/>
    <w:rsid w:val="009F7157"/>
    <w:rsid w:val="00A070F7"/>
    <w:rsid w:val="00A2258E"/>
    <w:rsid w:val="00A34614"/>
    <w:rsid w:val="00A34AAF"/>
    <w:rsid w:val="00A55607"/>
    <w:rsid w:val="00A563D0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4BAD"/>
    <w:rsid w:val="00AB7AAA"/>
    <w:rsid w:val="00AC086D"/>
    <w:rsid w:val="00AC40F6"/>
    <w:rsid w:val="00AC5442"/>
    <w:rsid w:val="00AC7829"/>
    <w:rsid w:val="00AC7DC6"/>
    <w:rsid w:val="00AD0876"/>
    <w:rsid w:val="00AD5A39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175A3"/>
    <w:rsid w:val="00B2070D"/>
    <w:rsid w:val="00B264CF"/>
    <w:rsid w:val="00B32445"/>
    <w:rsid w:val="00B34B79"/>
    <w:rsid w:val="00B351AA"/>
    <w:rsid w:val="00B3751C"/>
    <w:rsid w:val="00B4425E"/>
    <w:rsid w:val="00B45000"/>
    <w:rsid w:val="00B500A3"/>
    <w:rsid w:val="00B5292A"/>
    <w:rsid w:val="00B53B12"/>
    <w:rsid w:val="00B5589E"/>
    <w:rsid w:val="00B6218C"/>
    <w:rsid w:val="00B64384"/>
    <w:rsid w:val="00B6545E"/>
    <w:rsid w:val="00B67168"/>
    <w:rsid w:val="00B74CD6"/>
    <w:rsid w:val="00B846B1"/>
    <w:rsid w:val="00B90F01"/>
    <w:rsid w:val="00B93A96"/>
    <w:rsid w:val="00B97A78"/>
    <w:rsid w:val="00B97CDD"/>
    <w:rsid w:val="00BA10E1"/>
    <w:rsid w:val="00BA3467"/>
    <w:rsid w:val="00BA583E"/>
    <w:rsid w:val="00BB2923"/>
    <w:rsid w:val="00BB4260"/>
    <w:rsid w:val="00BB4D81"/>
    <w:rsid w:val="00BB5351"/>
    <w:rsid w:val="00BC5524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22B68"/>
    <w:rsid w:val="00C31716"/>
    <w:rsid w:val="00C34D73"/>
    <w:rsid w:val="00C4325E"/>
    <w:rsid w:val="00C44347"/>
    <w:rsid w:val="00C47573"/>
    <w:rsid w:val="00C5016A"/>
    <w:rsid w:val="00C53C86"/>
    <w:rsid w:val="00C55E4C"/>
    <w:rsid w:val="00C5687E"/>
    <w:rsid w:val="00C670E1"/>
    <w:rsid w:val="00C71F85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E4CE2"/>
    <w:rsid w:val="00CF06A4"/>
    <w:rsid w:val="00CF1A3D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47743"/>
    <w:rsid w:val="00D47F07"/>
    <w:rsid w:val="00D502F0"/>
    <w:rsid w:val="00D529EB"/>
    <w:rsid w:val="00D54731"/>
    <w:rsid w:val="00D55BC5"/>
    <w:rsid w:val="00D5735B"/>
    <w:rsid w:val="00D57AD7"/>
    <w:rsid w:val="00D608FE"/>
    <w:rsid w:val="00D61975"/>
    <w:rsid w:val="00D61B18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C73DA"/>
    <w:rsid w:val="00DD00B2"/>
    <w:rsid w:val="00DD4065"/>
    <w:rsid w:val="00DE01F8"/>
    <w:rsid w:val="00DE5D57"/>
    <w:rsid w:val="00DF0289"/>
    <w:rsid w:val="00DF291B"/>
    <w:rsid w:val="00DF3310"/>
    <w:rsid w:val="00DF6532"/>
    <w:rsid w:val="00DF683D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51E3"/>
    <w:rsid w:val="00ED68EE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1D98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7453C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5D0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ED789"/>
  <w15:docId w15:val="{E935DAE2-A509-4202-BD62-72D00388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7439-BD27-45A5-A609-664F800A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Z K</cp:lastModifiedBy>
  <cp:revision>4</cp:revision>
  <cp:lastPrinted>2018-07-04T17:05:00Z</cp:lastPrinted>
  <dcterms:created xsi:type="dcterms:W3CDTF">2018-09-13T06:18:00Z</dcterms:created>
  <dcterms:modified xsi:type="dcterms:W3CDTF">2018-09-13T07:18:00Z</dcterms:modified>
</cp:coreProperties>
</file>