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10" w:rsidRPr="006C746F" w:rsidRDefault="007C74B8" w:rsidP="00473E10">
      <w:pPr>
        <w:spacing w:after="0" w:line="240" w:lineRule="auto"/>
        <w:jc w:val="center"/>
        <w:rPr>
          <w:b/>
          <w:sz w:val="30"/>
          <w:szCs w:val="30"/>
          <w:u w:val="single"/>
        </w:rPr>
      </w:pPr>
      <w:r w:rsidRPr="006C746F">
        <w:rPr>
          <w:b/>
          <w:sz w:val="30"/>
          <w:szCs w:val="30"/>
          <w:u w:val="single"/>
        </w:rPr>
        <w:t>SMĚRNICE OBCE HAŠKOVCOVA LHOTA</w:t>
      </w:r>
      <w:r w:rsidR="00995FBF">
        <w:rPr>
          <w:b/>
          <w:sz w:val="30"/>
          <w:szCs w:val="30"/>
          <w:u w:val="single"/>
        </w:rPr>
        <w:t xml:space="preserve"> K VEDENÍ POKLADNY</w:t>
      </w:r>
    </w:p>
    <w:p w:rsidR="00473E10" w:rsidRPr="00473E10" w:rsidRDefault="00473E10" w:rsidP="00473E10">
      <w:pPr>
        <w:spacing w:after="0" w:line="240" w:lineRule="auto"/>
        <w:jc w:val="center"/>
        <w:rPr>
          <w:b/>
          <w:sz w:val="30"/>
          <w:szCs w:val="30"/>
        </w:rPr>
      </w:pPr>
      <w:bookmarkStart w:id="0" w:name="_GoBack"/>
      <w:bookmarkEnd w:id="0"/>
    </w:p>
    <w:p w:rsidR="00F771C5" w:rsidRDefault="00F771C5" w:rsidP="00473E10">
      <w:pPr>
        <w:spacing w:after="0" w:line="240" w:lineRule="auto"/>
        <w:jc w:val="both"/>
        <w:rPr>
          <w:b/>
          <w:sz w:val="24"/>
          <w:szCs w:val="24"/>
        </w:rPr>
      </w:pPr>
    </w:p>
    <w:p w:rsidR="000A086E" w:rsidRDefault="000A086E" w:rsidP="00473E1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 zajištění chodu obce potřebnou hotovostí je zřízena „Pokladna“.</w:t>
      </w:r>
    </w:p>
    <w:p w:rsidR="000A086E" w:rsidRDefault="000A086E" w:rsidP="00473E10">
      <w:pPr>
        <w:spacing w:after="0" w:line="240" w:lineRule="auto"/>
        <w:jc w:val="both"/>
        <w:rPr>
          <w:b/>
          <w:sz w:val="24"/>
          <w:szCs w:val="24"/>
        </w:rPr>
      </w:pPr>
    </w:p>
    <w:p w:rsidR="000A086E" w:rsidRDefault="000A086E" w:rsidP="00473E1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Vedení pokladny a prováděním pokladních operací je pověřena účetní.</w:t>
      </w:r>
    </w:p>
    <w:p w:rsidR="005B31F0" w:rsidRDefault="005B31F0" w:rsidP="00473E10">
      <w:pPr>
        <w:spacing w:after="0" w:line="240" w:lineRule="auto"/>
        <w:jc w:val="both"/>
        <w:rPr>
          <w:sz w:val="24"/>
          <w:szCs w:val="24"/>
        </w:rPr>
      </w:pPr>
    </w:p>
    <w:p w:rsidR="000A086E" w:rsidRDefault="000A086E" w:rsidP="00473E1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Finanční limit pokladny byl schválen obecním zastupitelstvem na </w:t>
      </w:r>
      <w:r w:rsidR="005B31F0">
        <w:rPr>
          <w:sz w:val="24"/>
          <w:szCs w:val="24"/>
        </w:rPr>
        <w:t xml:space="preserve">12.000,- </w:t>
      </w:r>
      <w:r>
        <w:rPr>
          <w:sz w:val="24"/>
          <w:szCs w:val="24"/>
        </w:rPr>
        <w:t>Kč, usnesení č. ………………… ze dne ……………………</w:t>
      </w:r>
    </w:p>
    <w:p w:rsidR="005B31F0" w:rsidRDefault="005B31F0" w:rsidP="00473E10">
      <w:pPr>
        <w:spacing w:after="0" w:line="240" w:lineRule="auto"/>
        <w:jc w:val="both"/>
        <w:rPr>
          <w:sz w:val="24"/>
          <w:szCs w:val="24"/>
        </w:rPr>
      </w:pPr>
    </w:p>
    <w:p w:rsidR="000A086E" w:rsidRDefault="000A086E" w:rsidP="00473E1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účetnictví se o pokladně účtuje na účtu 261 0100.</w:t>
      </w:r>
    </w:p>
    <w:p w:rsidR="000A086E" w:rsidRDefault="000A086E" w:rsidP="00473E10">
      <w:pPr>
        <w:spacing w:after="0" w:line="240" w:lineRule="auto"/>
        <w:jc w:val="both"/>
        <w:rPr>
          <w:sz w:val="24"/>
          <w:szCs w:val="24"/>
        </w:rPr>
      </w:pPr>
    </w:p>
    <w:p w:rsidR="000A086E" w:rsidRDefault="000A086E" w:rsidP="00473E1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 rámci pokladny jsou zabezpečovány tyto úkoly:</w:t>
      </w:r>
    </w:p>
    <w:p w:rsidR="000A086E" w:rsidRDefault="000A086E" w:rsidP="00473E10">
      <w:pPr>
        <w:spacing w:after="0" w:line="240" w:lineRule="auto"/>
        <w:jc w:val="both"/>
        <w:rPr>
          <w:b/>
          <w:sz w:val="24"/>
          <w:szCs w:val="24"/>
        </w:rPr>
      </w:pPr>
    </w:p>
    <w:p w:rsidR="000A086E" w:rsidRPr="000A086E" w:rsidRDefault="000A086E" w:rsidP="000A086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Příjem peněžní hotovosti – příjem z prodeje známek na popelnice, příjem za provedené </w:t>
      </w:r>
      <w:proofErr w:type="gramStart"/>
      <w:r>
        <w:rPr>
          <w:sz w:val="24"/>
          <w:szCs w:val="24"/>
        </w:rPr>
        <w:t>hovory v VTS</w:t>
      </w:r>
      <w:proofErr w:type="gramEnd"/>
      <w:r>
        <w:rPr>
          <w:sz w:val="24"/>
          <w:szCs w:val="24"/>
        </w:rPr>
        <w:t xml:space="preserve"> (veřejné telefonní stanice) obce,  poplatky občanů obce dle obecních vyhlášek a jiné.</w:t>
      </w:r>
    </w:p>
    <w:p w:rsidR="000A086E" w:rsidRPr="000A086E" w:rsidRDefault="000A086E" w:rsidP="000A086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Výdej peněžní hotovosti – výplaty zastupitelů a za uzavřené dohody o provedení práce, proplacení paragonů za služby a zboží hrazené v hotovosti, cestovné a jiné.</w:t>
      </w:r>
    </w:p>
    <w:p w:rsidR="000A086E" w:rsidRDefault="000A086E" w:rsidP="000A086E">
      <w:pPr>
        <w:spacing w:after="0" w:line="240" w:lineRule="auto"/>
        <w:jc w:val="both"/>
        <w:rPr>
          <w:b/>
          <w:sz w:val="24"/>
          <w:szCs w:val="24"/>
        </w:rPr>
      </w:pPr>
    </w:p>
    <w:p w:rsidR="000A086E" w:rsidRPr="000A086E" w:rsidRDefault="000A086E" w:rsidP="000A086E">
      <w:pPr>
        <w:spacing w:after="0" w:line="240" w:lineRule="auto"/>
        <w:jc w:val="both"/>
        <w:rPr>
          <w:b/>
          <w:sz w:val="24"/>
          <w:szCs w:val="24"/>
        </w:rPr>
      </w:pPr>
      <w:r w:rsidRPr="000A086E">
        <w:rPr>
          <w:b/>
          <w:sz w:val="24"/>
          <w:szCs w:val="24"/>
        </w:rPr>
        <w:t>Druhy pokladních dokladů:</w:t>
      </w:r>
    </w:p>
    <w:p w:rsidR="000A086E" w:rsidRDefault="000A086E" w:rsidP="00473E1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Pokladními doklady jsou dle této směrnice:</w:t>
      </w:r>
    </w:p>
    <w:p w:rsidR="000A086E" w:rsidRDefault="000A086E" w:rsidP="00473E1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a) příjmové pokladní doklady a jejich přílohy</w:t>
      </w:r>
    </w:p>
    <w:p w:rsidR="000A086E" w:rsidRDefault="000A086E" w:rsidP="00473E1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b) výdajové pokladní doklady a jejich přílohy</w:t>
      </w:r>
    </w:p>
    <w:p w:rsidR="00D77D0C" w:rsidRDefault="00D77D0C" w:rsidP="00473E10">
      <w:pPr>
        <w:spacing w:after="0" w:line="240" w:lineRule="auto"/>
        <w:jc w:val="both"/>
        <w:rPr>
          <w:sz w:val="24"/>
          <w:szCs w:val="24"/>
        </w:rPr>
      </w:pPr>
    </w:p>
    <w:p w:rsidR="000A086E" w:rsidRDefault="00D77D0C" w:rsidP="00473E1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z w:val="24"/>
          <w:szCs w:val="24"/>
        </w:rPr>
        <w:t>říjmové a výdajové pokladní doklady</w:t>
      </w:r>
      <w:r>
        <w:rPr>
          <w:sz w:val="24"/>
          <w:szCs w:val="24"/>
        </w:rPr>
        <w:t xml:space="preserve"> jsou</w:t>
      </w:r>
      <w:r>
        <w:rPr>
          <w:sz w:val="24"/>
          <w:szCs w:val="24"/>
        </w:rPr>
        <w:t xml:space="preserve"> vystavovány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v jedné vzestupné číselné řadě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v rámci</w:t>
      </w:r>
      <w:r>
        <w:rPr>
          <w:sz w:val="24"/>
          <w:szCs w:val="24"/>
        </w:rPr>
        <w:t xml:space="preserve"> pokladní knihy.</w:t>
      </w:r>
      <w:r w:rsidRPr="00D77D0C">
        <w:rPr>
          <w:sz w:val="24"/>
          <w:szCs w:val="24"/>
        </w:rPr>
        <w:t xml:space="preserve"> </w:t>
      </w:r>
      <w:r>
        <w:rPr>
          <w:sz w:val="24"/>
          <w:szCs w:val="24"/>
        </w:rPr>
        <w:t>Příjmové a výdajové pokladní doklady</w:t>
      </w:r>
      <w:r>
        <w:rPr>
          <w:sz w:val="24"/>
          <w:szCs w:val="24"/>
        </w:rPr>
        <w:t xml:space="preserve"> vystavuje pokladní obecního úřadu.</w:t>
      </w:r>
    </w:p>
    <w:p w:rsidR="00D77D0C" w:rsidRDefault="00D77D0C" w:rsidP="00473E10">
      <w:pPr>
        <w:spacing w:after="0" w:line="240" w:lineRule="auto"/>
        <w:jc w:val="both"/>
        <w:rPr>
          <w:sz w:val="24"/>
          <w:szCs w:val="24"/>
        </w:rPr>
      </w:pPr>
    </w:p>
    <w:p w:rsidR="00D77D0C" w:rsidRDefault="00D77D0C" w:rsidP="00473E1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účetním modulu „Pokladna“ provede účetní za příslušný příjmový či </w:t>
      </w:r>
      <w:r>
        <w:rPr>
          <w:sz w:val="24"/>
          <w:szCs w:val="24"/>
        </w:rPr>
        <w:t>výdajov</w:t>
      </w:r>
      <w:r>
        <w:rPr>
          <w:sz w:val="24"/>
          <w:szCs w:val="24"/>
        </w:rPr>
        <w:t>ý pokladní doklad předkontaci tohoto dokladu na příslušné účty. Tyto doklady jsou zároveň průběžně zaúčtovány na příslušné účty prostřednictvím modulu „Účetnictví“. Kontrolu správnosti zaúčtování a samotný přenos provádí účetní.</w:t>
      </w:r>
    </w:p>
    <w:p w:rsidR="00D77D0C" w:rsidRDefault="00D77D0C" w:rsidP="00473E10">
      <w:pPr>
        <w:spacing w:after="0" w:line="240" w:lineRule="auto"/>
        <w:jc w:val="both"/>
        <w:rPr>
          <w:sz w:val="24"/>
          <w:szCs w:val="24"/>
        </w:rPr>
      </w:pPr>
    </w:p>
    <w:p w:rsidR="00D77D0C" w:rsidRDefault="00D77D0C" w:rsidP="00473E1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Jednotlivé p</w:t>
      </w:r>
      <w:r>
        <w:rPr>
          <w:sz w:val="24"/>
          <w:szCs w:val="24"/>
        </w:rPr>
        <w:t>říjmové a výdajové pokladní doklady</w:t>
      </w:r>
      <w:r>
        <w:rPr>
          <w:sz w:val="24"/>
          <w:szCs w:val="24"/>
        </w:rPr>
        <w:t xml:space="preserve"> včetně příloh</w:t>
      </w:r>
      <w:r>
        <w:rPr>
          <w:sz w:val="24"/>
          <w:szCs w:val="24"/>
        </w:rPr>
        <w:t xml:space="preserve"> </w:t>
      </w:r>
      <w:r w:rsidRPr="00473E10">
        <w:rPr>
          <w:sz w:val="24"/>
          <w:szCs w:val="24"/>
        </w:rPr>
        <w:t>jsou uloženy v šanonu spolu s ostatními doklady daného měsíce podle pořadí.</w:t>
      </w:r>
    </w:p>
    <w:p w:rsidR="00D77D0C" w:rsidRDefault="00D77D0C" w:rsidP="00473E10">
      <w:pPr>
        <w:spacing w:after="0" w:line="240" w:lineRule="auto"/>
        <w:jc w:val="both"/>
        <w:rPr>
          <w:sz w:val="24"/>
          <w:szCs w:val="24"/>
        </w:rPr>
      </w:pPr>
    </w:p>
    <w:p w:rsidR="00D77D0C" w:rsidRDefault="00D77D0C" w:rsidP="00473E1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každý příjmový a výdajový doklad starosta svým podpisem potvrdí věcnou a formální správnost a příkaz k operaci. Je-li příjmový nebo výdajový doklad vydaný na jméno starosty, potvrdí formální správnost a příkaz k operaci svým podpisem místostarosta obce. </w:t>
      </w:r>
    </w:p>
    <w:p w:rsidR="00D77D0C" w:rsidRDefault="00D77D0C" w:rsidP="00473E10">
      <w:pPr>
        <w:spacing w:after="0" w:line="240" w:lineRule="auto"/>
        <w:jc w:val="both"/>
        <w:rPr>
          <w:sz w:val="24"/>
          <w:szCs w:val="24"/>
        </w:rPr>
      </w:pPr>
    </w:p>
    <w:p w:rsidR="00D77D0C" w:rsidRDefault="00D77D0C" w:rsidP="00473E1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Účetní doklad podepíše účetní, která doklad připravila, dále potvrdí i jeho správnost a jako správce rozpočtu.</w:t>
      </w:r>
    </w:p>
    <w:p w:rsidR="00D77D0C" w:rsidRDefault="00D77D0C" w:rsidP="00473E10">
      <w:pPr>
        <w:spacing w:after="0" w:line="240" w:lineRule="auto"/>
        <w:jc w:val="both"/>
        <w:rPr>
          <w:sz w:val="24"/>
          <w:szCs w:val="24"/>
        </w:rPr>
      </w:pPr>
    </w:p>
    <w:p w:rsidR="00D77D0C" w:rsidRDefault="00D77D0C" w:rsidP="00473E1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konci dne si pokladní zůstatek v pokladní knize odsouhlasí s fyzickým stavem hotovosti v pokladně.</w:t>
      </w:r>
    </w:p>
    <w:p w:rsidR="00D77D0C" w:rsidRDefault="00D77D0C" w:rsidP="00473E1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Obnos pokladny </w:t>
      </w:r>
      <w:r w:rsidR="005B31F0">
        <w:rPr>
          <w:sz w:val="24"/>
          <w:szCs w:val="24"/>
        </w:rPr>
        <w:t>má u sebe pokladní - účetní a má za ni hmotnou zodpovědnost.</w:t>
      </w:r>
    </w:p>
    <w:p w:rsidR="005B31F0" w:rsidRDefault="005B31F0" w:rsidP="00473E10">
      <w:pPr>
        <w:spacing w:after="0" w:line="240" w:lineRule="auto"/>
        <w:jc w:val="both"/>
        <w:rPr>
          <w:sz w:val="24"/>
          <w:szCs w:val="24"/>
        </w:rPr>
      </w:pPr>
    </w:p>
    <w:p w:rsidR="005B31F0" w:rsidRDefault="005B31F0" w:rsidP="00473E1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Inventarizace prostředků v hotovosti a cenin je prováděna k datu 31. 12. příslušného roku. Dokladovým výstupem z každé inventarizace je inventární soupis.</w:t>
      </w:r>
    </w:p>
    <w:p w:rsidR="00BC3FC8" w:rsidRDefault="00BC3FC8" w:rsidP="00473E10">
      <w:pPr>
        <w:spacing w:after="0" w:line="240" w:lineRule="auto"/>
        <w:jc w:val="both"/>
        <w:rPr>
          <w:sz w:val="24"/>
          <w:szCs w:val="24"/>
        </w:rPr>
      </w:pPr>
    </w:p>
    <w:p w:rsidR="0026323C" w:rsidRDefault="0026323C" w:rsidP="0026323C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Přílohou směrnice je podpisový vzor.</w:t>
      </w:r>
    </w:p>
    <w:p w:rsidR="00F771C5" w:rsidRDefault="00F771C5" w:rsidP="00C346E6">
      <w:pPr>
        <w:spacing w:after="0" w:line="240" w:lineRule="auto"/>
        <w:jc w:val="both"/>
        <w:rPr>
          <w:sz w:val="24"/>
          <w:szCs w:val="24"/>
        </w:rPr>
      </w:pPr>
    </w:p>
    <w:p w:rsidR="00C346E6" w:rsidRPr="0097005E" w:rsidRDefault="00C346E6" w:rsidP="00C346E6">
      <w:pPr>
        <w:spacing w:after="0" w:line="240" w:lineRule="auto"/>
        <w:jc w:val="both"/>
        <w:rPr>
          <w:sz w:val="24"/>
          <w:szCs w:val="24"/>
        </w:rPr>
      </w:pPr>
      <w:r w:rsidRPr="0097005E">
        <w:rPr>
          <w:sz w:val="24"/>
          <w:szCs w:val="24"/>
        </w:rPr>
        <w:t>Směrnici zpracoval</w:t>
      </w:r>
      <w:r>
        <w:t>a</w:t>
      </w:r>
      <w:r w:rsidRPr="0097005E">
        <w:rPr>
          <w:sz w:val="24"/>
          <w:szCs w:val="24"/>
        </w:rPr>
        <w:t xml:space="preserve">:  </w:t>
      </w:r>
      <w:r>
        <w:t>Milena Bínová</w:t>
      </w:r>
    </w:p>
    <w:p w:rsidR="00C346E6" w:rsidRPr="0097005E" w:rsidRDefault="00C346E6" w:rsidP="00C346E6">
      <w:pPr>
        <w:spacing w:after="0" w:line="240" w:lineRule="auto"/>
        <w:jc w:val="both"/>
        <w:rPr>
          <w:sz w:val="24"/>
          <w:szCs w:val="24"/>
        </w:rPr>
      </w:pPr>
      <w:r w:rsidRPr="0097005E">
        <w:rPr>
          <w:sz w:val="24"/>
          <w:szCs w:val="24"/>
        </w:rPr>
        <w:t xml:space="preserve">Směrnici schválil: </w:t>
      </w:r>
      <w:r w:rsidR="005B31F0">
        <w:rPr>
          <w:sz w:val="24"/>
          <w:szCs w:val="24"/>
        </w:rPr>
        <w:t>Ing. Zdeněk Kočí</w:t>
      </w:r>
    </w:p>
    <w:p w:rsidR="00C346E6" w:rsidRPr="0097005E" w:rsidRDefault="00C346E6" w:rsidP="00C346E6">
      <w:pPr>
        <w:spacing w:after="0" w:line="240" w:lineRule="auto"/>
        <w:jc w:val="both"/>
        <w:rPr>
          <w:sz w:val="24"/>
          <w:szCs w:val="24"/>
        </w:rPr>
      </w:pPr>
      <w:r w:rsidRPr="0097005E">
        <w:rPr>
          <w:sz w:val="24"/>
          <w:szCs w:val="24"/>
        </w:rPr>
        <w:t xml:space="preserve">Projednáno a schváleno v ZO: </w:t>
      </w:r>
      <w:r>
        <w:t>………………………</w:t>
      </w:r>
      <w:proofErr w:type="gramStart"/>
      <w:r>
        <w:t>…..</w:t>
      </w:r>
      <w:proofErr w:type="gramEnd"/>
    </w:p>
    <w:p w:rsidR="00C346E6" w:rsidRPr="0097005E" w:rsidRDefault="00C346E6" w:rsidP="00C346E6">
      <w:pPr>
        <w:spacing w:after="0" w:line="240" w:lineRule="auto"/>
        <w:jc w:val="both"/>
        <w:rPr>
          <w:sz w:val="24"/>
          <w:szCs w:val="24"/>
        </w:rPr>
      </w:pPr>
      <w:r w:rsidRPr="0097005E">
        <w:rPr>
          <w:sz w:val="24"/>
          <w:szCs w:val="24"/>
        </w:rPr>
        <w:t xml:space="preserve">Datum zpracování: </w:t>
      </w:r>
      <w:r w:rsidR="005B31F0">
        <w:t>20</w:t>
      </w:r>
      <w:r w:rsidRPr="0097005E">
        <w:rPr>
          <w:sz w:val="24"/>
          <w:szCs w:val="24"/>
        </w:rPr>
        <w:t>.</w:t>
      </w:r>
      <w:r w:rsidR="00336409">
        <w:rPr>
          <w:sz w:val="24"/>
          <w:szCs w:val="24"/>
        </w:rPr>
        <w:t xml:space="preserve"> 0</w:t>
      </w:r>
      <w:r>
        <w:t>3.</w:t>
      </w:r>
      <w:r w:rsidR="00336409">
        <w:t xml:space="preserve"> </w:t>
      </w:r>
      <w:r>
        <w:t>2013</w:t>
      </w:r>
    </w:p>
    <w:p w:rsidR="00C346E6" w:rsidRDefault="00C346E6" w:rsidP="00C346E6">
      <w:pPr>
        <w:spacing w:after="0" w:line="240" w:lineRule="auto"/>
        <w:jc w:val="both"/>
        <w:rPr>
          <w:sz w:val="24"/>
          <w:szCs w:val="24"/>
        </w:rPr>
      </w:pPr>
    </w:p>
    <w:p w:rsidR="0026323C" w:rsidRDefault="0026323C" w:rsidP="00C346E6">
      <w:pPr>
        <w:spacing w:after="0" w:line="240" w:lineRule="auto"/>
        <w:jc w:val="both"/>
        <w:rPr>
          <w:sz w:val="24"/>
          <w:szCs w:val="24"/>
        </w:rPr>
      </w:pPr>
    </w:p>
    <w:p w:rsidR="006B22F6" w:rsidRDefault="006B22F6" w:rsidP="006B22F6">
      <w:pPr>
        <w:jc w:val="both"/>
      </w:pPr>
    </w:p>
    <w:p w:rsidR="005B31F0" w:rsidRDefault="005B31F0" w:rsidP="006B22F6">
      <w:pPr>
        <w:jc w:val="both"/>
      </w:pPr>
    </w:p>
    <w:p w:rsidR="005B31F0" w:rsidRDefault="005B31F0" w:rsidP="006B22F6">
      <w:pPr>
        <w:jc w:val="both"/>
      </w:pPr>
    </w:p>
    <w:p w:rsidR="006B22F6" w:rsidRPr="006B22F6" w:rsidRDefault="006B22F6" w:rsidP="006B22F6">
      <w:pPr>
        <w:jc w:val="center"/>
        <w:rPr>
          <w:color w:val="000000"/>
          <w:sz w:val="24"/>
          <w:szCs w:val="24"/>
        </w:rPr>
      </w:pPr>
      <w:r w:rsidRPr="006B22F6">
        <w:rPr>
          <w:color w:val="000000"/>
          <w:sz w:val="24"/>
          <w:szCs w:val="24"/>
        </w:rPr>
        <w:t>.........................................................................................…………………….</w:t>
      </w:r>
    </w:p>
    <w:p w:rsidR="006B22F6" w:rsidRPr="006B22F6" w:rsidRDefault="006B22F6" w:rsidP="006B22F6">
      <w:pPr>
        <w:jc w:val="center"/>
        <w:rPr>
          <w:sz w:val="24"/>
          <w:szCs w:val="24"/>
        </w:rPr>
      </w:pPr>
      <w:r w:rsidRPr="006B22F6">
        <w:rPr>
          <w:sz w:val="24"/>
          <w:szCs w:val="24"/>
        </w:rPr>
        <w:t>podpisy starosty a místostarosty, otisk razítka</w:t>
      </w:r>
    </w:p>
    <w:sectPr w:rsidR="006B22F6" w:rsidRPr="006B22F6" w:rsidSect="00336409">
      <w:footerReference w:type="default" r:id="rId9"/>
      <w:pgSz w:w="11906" w:h="16838" w:code="9"/>
      <w:pgMar w:top="1135" w:right="851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C1F" w:rsidRDefault="00C45C1F" w:rsidP="008D5E5E">
      <w:pPr>
        <w:spacing w:after="0" w:line="240" w:lineRule="auto"/>
      </w:pPr>
      <w:r>
        <w:separator/>
      </w:r>
    </w:p>
  </w:endnote>
  <w:endnote w:type="continuationSeparator" w:id="0">
    <w:p w:rsidR="00C45C1F" w:rsidRDefault="00C45C1F" w:rsidP="008D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870604"/>
      <w:docPartObj>
        <w:docPartGallery w:val="Page Numbers (Bottom of Page)"/>
        <w:docPartUnique/>
      </w:docPartObj>
    </w:sdtPr>
    <w:sdtEndPr/>
    <w:sdtContent>
      <w:p w:rsidR="008D5E5E" w:rsidRDefault="008D5E5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1F0">
          <w:rPr>
            <w:noProof/>
          </w:rPr>
          <w:t>2</w:t>
        </w:r>
        <w:r>
          <w:fldChar w:fldCharType="end"/>
        </w:r>
      </w:p>
    </w:sdtContent>
  </w:sdt>
  <w:p w:rsidR="008D5E5E" w:rsidRDefault="008D5E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C1F" w:rsidRDefault="00C45C1F" w:rsidP="008D5E5E">
      <w:pPr>
        <w:spacing w:after="0" w:line="240" w:lineRule="auto"/>
      </w:pPr>
      <w:r>
        <w:separator/>
      </w:r>
    </w:p>
  </w:footnote>
  <w:footnote w:type="continuationSeparator" w:id="0">
    <w:p w:rsidR="00C45C1F" w:rsidRDefault="00C45C1F" w:rsidP="008D5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A36B4"/>
    <w:multiLevelType w:val="hybridMultilevel"/>
    <w:tmpl w:val="C38079F4"/>
    <w:lvl w:ilvl="0" w:tplc="E62851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283384"/>
    <w:multiLevelType w:val="hybridMultilevel"/>
    <w:tmpl w:val="ED72D3B6"/>
    <w:lvl w:ilvl="0" w:tplc="7A688D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F59A6"/>
    <w:multiLevelType w:val="hybridMultilevel"/>
    <w:tmpl w:val="CB680378"/>
    <w:lvl w:ilvl="0" w:tplc="571892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B8"/>
    <w:rsid w:val="000A086E"/>
    <w:rsid w:val="001A058F"/>
    <w:rsid w:val="00207C9D"/>
    <w:rsid w:val="0026323C"/>
    <w:rsid w:val="00336409"/>
    <w:rsid w:val="003D1998"/>
    <w:rsid w:val="00455035"/>
    <w:rsid w:val="00473E10"/>
    <w:rsid w:val="004C1F1D"/>
    <w:rsid w:val="005B31F0"/>
    <w:rsid w:val="006B22F6"/>
    <w:rsid w:val="006C746F"/>
    <w:rsid w:val="007A095D"/>
    <w:rsid w:val="007C74B8"/>
    <w:rsid w:val="007F36BA"/>
    <w:rsid w:val="008D5E5E"/>
    <w:rsid w:val="00913B30"/>
    <w:rsid w:val="00995FBF"/>
    <w:rsid w:val="00B15DEF"/>
    <w:rsid w:val="00BA5BA8"/>
    <w:rsid w:val="00BC3FC8"/>
    <w:rsid w:val="00C346E6"/>
    <w:rsid w:val="00C45C1F"/>
    <w:rsid w:val="00CD4CB4"/>
    <w:rsid w:val="00CF5A15"/>
    <w:rsid w:val="00D60275"/>
    <w:rsid w:val="00D77D0C"/>
    <w:rsid w:val="00D93ED8"/>
    <w:rsid w:val="00F7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71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D5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5E5E"/>
  </w:style>
  <w:style w:type="paragraph" w:styleId="Zpat">
    <w:name w:val="footer"/>
    <w:basedOn w:val="Normln"/>
    <w:link w:val="ZpatChar"/>
    <w:uiPriority w:val="99"/>
    <w:unhideWhenUsed/>
    <w:rsid w:val="008D5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5E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71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D5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5E5E"/>
  </w:style>
  <w:style w:type="paragraph" w:styleId="Zpat">
    <w:name w:val="footer"/>
    <w:basedOn w:val="Normln"/>
    <w:link w:val="ZpatChar"/>
    <w:uiPriority w:val="99"/>
    <w:unhideWhenUsed/>
    <w:rsid w:val="008D5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5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2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25EA7-F210-42AB-8F5C-CB170F9CE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374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2013-03-20T21:48:00Z</dcterms:created>
  <dcterms:modified xsi:type="dcterms:W3CDTF">2013-03-20T22:14:00Z</dcterms:modified>
</cp:coreProperties>
</file>